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C5C2" w14:textId="77777777" w:rsidR="006824D3" w:rsidRDefault="00000000">
      <w:pPr>
        <w:spacing w:after="717" w:line="259" w:lineRule="auto"/>
        <w:ind w:left="0" w:firstLine="0"/>
      </w:pPr>
      <w:r>
        <w:rPr>
          <w:rFonts w:ascii="Arial" w:eastAsia="Arial" w:hAnsi="Arial" w:cs="Arial"/>
          <w:sz w:val="20"/>
        </w:rPr>
        <w:t xml:space="preserve"> </w:t>
      </w:r>
    </w:p>
    <w:p w14:paraId="0009A974" w14:textId="77777777" w:rsidR="006824D3" w:rsidRDefault="00000000">
      <w:pPr>
        <w:spacing w:after="0" w:line="259" w:lineRule="auto"/>
        <w:ind w:left="0" w:firstLine="0"/>
      </w:pPr>
      <w:r>
        <w:rPr>
          <w:rFonts w:ascii="Times New Roman" w:eastAsia="Times New Roman" w:hAnsi="Times New Roman" w:cs="Times New Roman"/>
          <w:sz w:val="20"/>
        </w:rPr>
        <w:t xml:space="preserve"> </w:t>
      </w:r>
    </w:p>
    <w:p w14:paraId="0DB671EE" w14:textId="77777777" w:rsidR="006824D3" w:rsidRDefault="00000000">
      <w:pPr>
        <w:spacing w:after="0" w:line="259" w:lineRule="auto"/>
        <w:ind w:left="0" w:firstLine="0"/>
      </w:pPr>
      <w:r>
        <w:rPr>
          <w:rFonts w:ascii="Times New Roman" w:eastAsia="Times New Roman" w:hAnsi="Times New Roman" w:cs="Times New Roman"/>
          <w:sz w:val="20"/>
        </w:rPr>
        <w:t xml:space="preserve"> </w:t>
      </w:r>
    </w:p>
    <w:p w14:paraId="2B3D6013" w14:textId="77777777" w:rsidR="006824D3" w:rsidRDefault="00000000">
      <w:pPr>
        <w:spacing w:after="0" w:line="259" w:lineRule="auto"/>
        <w:ind w:left="0" w:firstLine="0"/>
      </w:pPr>
      <w:r>
        <w:rPr>
          <w:rFonts w:ascii="Times New Roman" w:eastAsia="Times New Roman" w:hAnsi="Times New Roman" w:cs="Times New Roman"/>
          <w:sz w:val="20"/>
        </w:rPr>
        <w:t xml:space="preserve"> </w:t>
      </w:r>
    </w:p>
    <w:p w14:paraId="6C9B8B44" w14:textId="77777777" w:rsidR="006824D3" w:rsidRDefault="00000000">
      <w:pPr>
        <w:spacing w:after="0" w:line="259" w:lineRule="auto"/>
        <w:ind w:left="0" w:firstLine="0"/>
      </w:pPr>
      <w:r>
        <w:rPr>
          <w:rFonts w:ascii="Times New Roman" w:eastAsia="Times New Roman" w:hAnsi="Times New Roman" w:cs="Times New Roman"/>
          <w:sz w:val="20"/>
        </w:rPr>
        <w:t xml:space="preserve"> </w:t>
      </w:r>
    </w:p>
    <w:p w14:paraId="263A9994" w14:textId="77777777" w:rsidR="006824D3" w:rsidRDefault="00000000">
      <w:pPr>
        <w:spacing w:after="20" w:line="259" w:lineRule="auto"/>
        <w:ind w:left="0" w:firstLine="0"/>
      </w:pPr>
      <w:r>
        <w:rPr>
          <w:rFonts w:ascii="Times New Roman" w:eastAsia="Times New Roman" w:hAnsi="Times New Roman" w:cs="Times New Roman"/>
          <w:sz w:val="20"/>
        </w:rPr>
        <w:t xml:space="preserve"> </w:t>
      </w:r>
    </w:p>
    <w:p w14:paraId="31228F91" w14:textId="77777777" w:rsidR="006824D3" w:rsidRDefault="00000000">
      <w:pPr>
        <w:spacing w:after="262" w:line="259" w:lineRule="auto"/>
        <w:ind w:left="0" w:firstLine="0"/>
      </w:pPr>
      <w:r>
        <w:rPr>
          <w:rFonts w:ascii="Times New Roman" w:eastAsia="Times New Roman" w:hAnsi="Times New Roman" w:cs="Times New Roman"/>
          <w:sz w:val="23"/>
        </w:rPr>
        <w:t xml:space="preserve"> </w:t>
      </w:r>
    </w:p>
    <w:p w14:paraId="15EA8E7C" w14:textId="77777777" w:rsidR="006824D3" w:rsidRDefault="00000000">
      <w:pPr>
        <w:spacing w:after="171" w:line="259" w:lineRule="auto"/>
        <w:ind w:left="0" w:right="1742" w:firstLine="0"/>
        <w:jc w:val="right"/>
      </w:pPr>
      <w:r>
        <w:rPr>
          <w:rFonts w:ascii="Arial" w:eastAsia="Arial" w:hAnsi="Arial" w:cs="Arial"/>
          <w:sz w:val="43"/>
        </w:rPr>
        <w:t xml:space="preserve">Department of Information Technology </w:t>
      </w:r>
    </w:p>
    <w:p w14:paraId="6268F899" w14:textId="77777777" w:rsidR="006824D3" w:rsidRDefault="00000000">
      <w:pPr>
        <w:spacing w:after="217" w:line="259" w:lineRule="auto"/>
        <w:ind w:left="2351" w:firstLine="0"/>
      </w:pPr>
      <w:r>
        <w:rPr>
          <w:rFonts w:ascii="Arial" w:eastAsia="Arial" w:hAnsi="Arial" w:cs="Arial"/>
          <w:sz w:val="43"/>
        </w:rPr>
        <w:t xml:space="preserve">Digital Solutions Section </w:t>
      </w:r>
    </w:p>
    <w:p w14:paraId="7015DF58" w14:textId="77777777" w:rsidR="006824D3" w:rsidRDefault="00000000">
      <w:pPr>
        <w:spacing w:after="0" w:line="259" w:lineRule="auto"/>
        <w:ind w:left="0" w:firstLine="0"/>
      </w:pPr>
      <w:r>
        <w:rPr>
          <w:rFonts w:ascii="Arial" w:eastAsia="Arial" w:hAnsi="Arial" w:cs="Arial"/>
          <w:sz w:val="48"/>
        </w:rPr>
        <w:t xml:space="preserve"> </w:t>
      </w:r>
    </w:p>
    <w:p w14:paraId="1226240A" w14:textId="77777777" w:rsidR="006824D3" w:rsidRDefault="00000000">
      <w:pPr>
        <w:spacing w:after="0" w:line="259" w:lineRule="auto"/>
        <w:ind w:left="0" w:firstLine="0"/>
      </w:pPr>
      <w:r>
        <w:rPr>
          <w:rFonts w:ascii="Arial" w:eastAsia="Arial" w:hAnsi="Arial" w:cs="Arial"/>
          <w:sz w:val="48"/>
        </w:rPr>
        <w:t xml:space="preserve"> </w:t>
      </w:r>
    </w:p>
    <w:p w14:paraId="5C414ADB" w14:textId="77777777" w:rsidR="006824D3" w:rsidRDefault="00000000">
      <w:pPr>
        <w:spacing w:after="114" w:line="259" w:lineRule="auto"/>
        <w:ind w:left="0" w:firstLine="0"/>
      </w:pPr>
      <w:r>
        <w:rPr>
          <w:rFonts w:ascii="Arial" w:eastAsia="Arial" w:hAnsi="Arial" w:cs="Arial"/>
          <w:sz w:val="48"/>
        </w:rPr>
        <w:t xml:space="preserve"> </w:t>
      </w:r>
    </w:p>
    <w:p w14:paraId="4FE18860" w14:textId="77777777" w:rsidR="006824D3" w:rsidRDefault="00000000">
      <w:pPr>
        <w:spacing w:after="0" w:line="259" w:lineRule="auto"/>
        <w:ind w:left="0" w:firstLine="0"/>
      </w:pPr>
      <w:r>
        <w:rPr>
          <w:rFonts w:ascii="Arial" w:eastAsia="Arial" w:hAnsi="Arial" w:cs="Arial"/>
          <w:sz w:val="65"/>
        </w:rPr>
        <w:t xml:space="preserve"> </w:t>
      </w:r>
    </w:p>
    <w:p w14:paraId="1A39BC65" w14:textId="77777777" w:rsidR="006824D3" w:rsidRDefault="00000000">
      <w:pPr>
        <w:spacing w:after="295" w:line="259" w:lineRule="auto"/>
        <w:ind w:left="1711" w:right="390" w:firstLine="256"/>
      </w:pPr>
      <w:r>
        <w:rPr>
          <w:rFonts w:ascii="Arial" w:eastAsia="Arial" w:hAnsi="Arial" w:cs="Arial"/>
          <w:color w:val="1F4E79"/>
          <w:sz w:val="48"/>
        </w:rPr>
        <w:t>Website Hosting &amp; Digital Commons Platform Support</w:t>
      </w:r>
      <w:r>
        <w:rPr>
          <w:rFonts w:ascii="Arial" w:eastAsia="Arial" w:hAnsi="Arial" w:cs="Arial"/>
          <w:sz w:val="48"/>
        </w:rPr>
        <w:t xml:space="preserve"> </w:t>
      </w:r>
    </w:p>
    <w:p w14:paraId="33FD2949" w14:textId="77777777" w:rsidR="006824D3" w:rsidRDefault="00000000">
      <w:pPr>
        <w:spacing w:after="0" w:line="259" w:lineRule="auto"/>
        <w:ind w:left="0" w:firstLine="0"/>
      </w:pPr>
      <w:r>
        <w:rPr>
          <w:rFonts w:ascii="Arial" w:eastAsia="Arial" w:hAnsi="Arial" w:cs="Arial"/>
          <w:sz w:val="79"/>
        </w:rPr>
        <w:t xml:space="preserve"> </w:t>
      </w:r>
    </w:p>
    <w:p w14:paraId="1225B103" w14:textId="77777777" w:rsidR="006824D3" w:rsidRDefault="00000000">
      <w:pPr>
        <w:spacing w:after="195" w:line="351" w:lineRule="auto"/>
        <w:ind w:left="2711" w:right="3343" w:firstLine="0"/>
        <w:jc w:val="center"/>
      </w:pPr>
      <w:r>
        <w:rPr>
          <w:rFonts w:ascii="Arial" w:eastAsia="Arial" w:hAnsi="Arial" w:cs="Arial"/>
          <w:sz w:val="36"/>
        </w:rPr>
        <w:t xml:space="preserve">Service Level Agreement For </w:t>
      </w:r>
    </w:p>
    <w:p w14:paraId="4B046B40" w14:textId="484C5E2D" w:rsidR="006824D3" w:rsidRDefault="002F7B80">
      <w:pPr>
        <w:spacing w:after="0" w:line="259" w:lineRule="auto"/>
        <w:ind w:left="0" w:right="739" w:firstLine="0"/>
        <w:jc w:val="center"/>
        <w:rPr>
          <w:rFonts w:ascii="Arial" w:eastAsia="Arial" w:hAnsi="Arial" w:cs="Arial"/>
          <w:sz w:val="48"/>
        </w:rPr>
      </w:pPr>
      <w:r>
        <w:rPr>
          <w:rFonts w:ascii="Arial" w:eastAsia="Arial" w:hAnsi="Arial" w:cs="Arial"/>
          <w:sz w:val="48"/>
        </w:rPr>
        <w:t>NC Resilience and Recovery Office</w:t>
      </w:r>
    </w:p>
    <w:p w14:paraId="6FF65656" w14:textId="77777777" w:rsidR="002331D5" w:rsidRDefault="002331D5">
      <w:pPr>
        <w:spacing w:after="0" w:line="259" w:lineRule="auto"/>
        <w:ind w:left="0" w:right="739" w:firstLine="0"/>
        <w:jc w:val="center"/>
        <w:rPr>
          <w:rFonts w:ascii="Arial" w:eastAsia="Arial" w:hAnsi="Arial" w:cs="Arial"/>
          <w:sz w:val="48"/>
        </w:rPr>
      </w:pPr>
    </w:p>
    <w:p w14:paraId="3802A80F" w14:textId="77777777" w:rsidR="002331D5" w:rsidRDefault="002331D5">
      <w:pPr>
        <w:spacing w:after="0" w:line="259" w:lineRule="auto"/>
        <w:ind w:left="0" w:right="739" w:firstLine="0"/>
        <w:jc w:val="center"/>
        <w:rPr>
          <w:rFonts w:ascii="Arial" w:eastAsia="Arial" w:hAnsi="Arial" w:cs="Arial"/>
          <w:sz w:val="48"/>
        </w:rPr>
      </w:pPr>
    </w:p>
    <w:p w14:paraId="7605FE70" w14:textId="77777777" w:rsidR="002331D5" w:rsidRDefault="002331D5">
      <w:pPr>
        <w:spacing w:after="0" w:line="259" w:lineRule="auto"/>
        <w:ind w:left="0" w:right="739" w:firstLine="0"/>
        <w:jc w:val="center"/>
        <w:rPr>
          <w:rFonts w:ascii="Arial" w:eastAsia="Arial" w:hAnsi="Arial" w:cs="Arial"/>
          <w:sz w:val="48"/>
        </w:rPr>
      </w:pPr>
    </w:p>
    <w:p w14:paraId="7A60ED32" w14:textId="77777777" w:rsidR="002331D5" w:rsidRDefault="002331D5">
      <w:pPr>
        <w:spacing w:after="0" w:line="259" w:lineRule="auto"/>
        <w:ind w:left="0" w:right="739" w:firstLine="0"/>
        <w:jc w:val="center"/>
        <w:rPr>
          <w:rFonts w:ascii="Arial" w:eastAsia="Arial" w:hAnsi="Arial" w:cs="Arial"/>
          <w:sz w:val="48"/>
        </w:rPr>
      </w:pPr>
    </w:p>
    <w:p w14:paraId="78E32546" w14:textId="77777777" w:rsidR="002331D5" w:rsidRDefault="002331D5">
      <w:pPr>
        <w:spacing w:after="0" w:line="259" w:lineRule="auto"/>
        <w:ind w:left="0" w:right="739" w:firstLine="0"/>
        <w:jc w:val="center"/>
      </w:pPr>
    </w:p>
    <w:p w14:paraId="039341B5" w14:textId="77777777" w:rsidR="006824D3" w:rsidRDefault="00000000">
      <w:pPr>
        <w:spacing w:after="0" w:line="259" w:lineRule="auto"/>
        <w:ind w:left="0" w:right="598" w:firstLine="0"/>
        <w:jc w:val="center"/>
      </w:pPr>
      <w:r>
        <w:rPr>
          <w:rFonts w:ascii="Arial" w:eastAsia="Arial" w:hAnsi="Arial" w:cs="Arial"/>
          <w:sz w:val="48"/>
        </w:rPr>
        <w:t xml:space="preserve"> </w:t>
      </w:r>
    </w:p>
    <w:p w14:paraId="434C6CDC" w14:textId="77777777" w:rsidR="006824D3" w:rsidRDefault="00000000">
      <w:pPr>
        <w:spacing w:after="0" w:line="259" w:lineRule="auto"/>
        <w:ind w:left="0" w:firstLine="0"/>
      </w:pPr>
      <w:r>
        <w:rPr>
          <w:rFonts w:ascii="Arial" w:eastAsia="Arial" w:hAnsi="Arial" w:cs="Arial"/>
          <w:sz w:val="48"/>
        </w:rPr>
        <w:lastRenderedPageBreak/>
        <w:t xml:space="preserve"> </w:t>
      </w:r>
      <w:r>
        <w:rPr>
          <w:rFonts w:ascii="Arial" w:eastAsia="Arial" w:hAnsi="Arial" w:cs="Arial"/>
          <w:sz w:val="48"/>
        </w:rPr>
        <w:tab/>
        <w:t xml:space="preserve"> </w:t>
      </w:r>
    </w:p>
    <w:p w14:paraId="65F8FEEC" w14:textId="77777777" w:rsidR="006824D3" w:rsidRDefault="00000000">
      <w:pPr>
        <w:spacing w:after="0" w:line="259" w:lineRule="auto"/>
        <w:ind w:left="120" w:firstLine="0"/>
      </w:pPr>
      <w:r>
        <w:rPr>
          <w:rFonts w:ascii="Arial" w:eastAsia="Arial" w:hAnsi="Arial" w:cs="Arial"/>
          <w:sz w:val="31"/>
        </w:rPr>
        <w:t xml:space="preserve">Version Control </w:t>
      </w:r>
    </w:p>
    <w:p w14:paraId="1C589D1F" w14:textId="77777777" w:rsidR="006824D3" w:rsidRDefault="00000000">
      <w:pPr>
        <w:spacing w:after="0" w:line="259" w:lineRule="auto"/>
        <w:ind w:left="0" w:firstLine="0"/>
      </w:pPr>
      <w:r>
        <w:rPr>
          <w:rFonts w:ascii="Arial" w:eastAsia="Arial" w:hAnsi="Arial" w:cs="Arial"/>
          <w:sz w:val="20"/>
        </w:rPr>
        <w:t xml:space="preserve"> </w:t>
      </w:r>
    </w:p>
    <w:p w14:paraId="0E906BA2" w14:textId="77777777" w:rsidR="006824D3" w:rsidRDefault="00000000">
      <w:pPr>
        <w:spacing w:after="27" w:line="259" w:lineRule="auto"/>
        <w:ind w:left="0" w:firstLine="0"/>
      </w:pPr>
      <w:r>
        <w:rPr>
          <w:rFonts w:ascii="Arial" w:eastAsia="Arial" w:hAnsi="Arial" w:cs="Arial"/>
          <w:sz w:val="20"/>
        </w:rPr>
        <w:t xml:space="preserve"> </w:t>
      </w:r>
    </w:p>
    <w:p w14:paraId="557DD043" w14:textId="77777777" w:rsidR="006824D3" w:rsidRDefault="00000000">
      <w:pPr>
        <w:spacing w:after="0" w:line="259" w:lineRule="auto"/>
        <w:ind w:left="0" w:firstLine="0"/>
      </w:pPr>
      <w:r>
        <w:rPr>
          <w:rFonts w:ascii="Arial" w:eastAsia="Arial" w:hAnsi="Arial" w:cs="Arial"/>
        </w:rPr>
        <w:t xml:space="preserve"> </w:t>
      </w:r>
    </w:p>
    <w:tbl>
      <w:tblPr>
        <w:tblStyle w:val="TableGrid"/>
        <w:tblW w:w="9547" w:type="dxa"/>
        <w:tblInd w:w="131" w:type="dxa"/>
        <w:tblCellMar>
          <w:top w:w="45" w:type="dxa"/>
          <w:left w:w="4" w:type="dxa"/>
          <w:bottom w:w="41" w:type="dxa"/>
          <w:right w:w="83" w:type="dxa"/>
        </w:tblCellMar>
        <w:tblLook w:val="04A0" w:firstRow="1" w:lastRow="0" w:firstColumn="1" w:lastColumn="0" w:noHBand="0" w:noVBand="1"/>
      </w:tblPr>
      <w:tblGrid>
        <w:gridCol w:w="4502"/>
        <w:gridCol w:w="1080"/>
        <w:gridCol w:w="2701"/>
        <w:gridCol w:w="1264"/>
      </w:tblGrid>
      <w:tr w:rsidR="006824D3" w14:paraId="413A3817" w14:textId="77777777">
        <w:trPr>
          <w:trHeight w:val="758"/>
        </w:trPr>
        <w:tc>
          <w:tcPr>
            <w:tcW w:w="4501" w:type="dxa"/>
            <w:tcBorders>
              <w:top w:val="single" w:sz="4" w:space="0" w:color="000000"/>
              <w:left w:val="single" w:sz="4" w:space="0" w:color="000000"/>
              <w:bottom w:val="single" w:sz="4" w:space="0" w:color="000000"/>
              <w:right w:val="single" w:sz="4" w:space="0" w:color="000000"/>
            </w:tcBorders>
            <w:shd w:val="clear" w:color="auto" w:fill="2E74B5"/>
          </w:tcPr>
          <w:p w14:paraId="56AB6CD6" w14:textId="77777777" w:rsidR="006824D3" w:rsidRDefault="00000000">
            <w:pPr>
              <w:spacing w:after="0" w:line="259" w:lineRule="auto"/>
              <w:ind w:left="115" w:firstLine="0"/>
            </w:pPr>
            <w:r>
              <w:rPr>
                <w:rFonts w:ascii="Arial" w:eastAsia="Arial" w:hAnsi="Arial" w:cs="Arial"/>
                <w:color w:val="FFFFFF"/>
              </w:rPr>
              <w:t>Author/Change Agent</w:t>
            </w:r>
            <w:r>
              <w:rPr>
                <w:rFonts w:ascii="Arial" w:eastAsia="Arial" w:hAnsi="Arial" w:cs="Arial"/>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2E74B5"/>
          </w:tcPr>
          <w:p w14:paraId="097B270F" w14:textId="77777777" w:rsidR="006824D3" w:rsidRDefault="00000000">
            <w:pPr>
              <w:spacing w:after="0" w:line="259" w:lineRule="auto"/>
              <w:ind w:left="111" w:firstLine="0"/>
            </w:pPr>
            <w:r>
              <w:rPr>
                <w:rFonts w:ascii="Arial" w:eastAsia="Arial" w:hAnsi="Arial" w:cs="Arial"/>
                <w:color w:val="FFFFFF"/>
              </w:rPr>
              <w:t>Version</w:t>
            </w:r>
            <w:r>
              <w:rPr>
                <w:rFonts w:ascii="Arial" w:eastAsia="Arial" w:hAnsi="Arial" w:cs="Arial"/>
              </w:rPr>
              <w:t xml:space="preserve"> </w:t>
            </w:r>
          </w:p>
        </w:tc>
        <w:tc>
          <w:tcPr>
            <w:tcW w:w="2701" w:type="dxa"/>
            <w:tcBorders>
              <w:top w:val="single" w:sz="4" w:space="0" w:color="000000"/>
              <w:left w:val="single" w:sz="4" w:space="0" w:color="000000"/>
              <w:bottom w:val="single" w:sz="4" w:space="0" w:color="000000"/>
              <w:right w:val="single" w:sz="4" w:space="0" w:color="000000"/>
            </w:tcBorders>
            <w:shd w:val="clear" w:color="auto" w:fill="2E74B5"/>
          </w:tcPr>
          <w:p w14:paraId="549631B5" w14:textId="77777777" w:rsidR="006824D3" w:rsidRDefault="00000000">
            <w:pPr>
              <w:spacing w:after="0" w:line="259" w:lineRule="auto"/>
              <w:ind w:left="111" w:firstLine="0"/>
            </w:pPr>
            <w:r>
              <w:rPr>
                <w:rFonts w:ascii="Arial" w:eastAsia="Arial" w:hAnsi="Arial" w:cs="Arial"/>
                <w:color w:val="FFFFFF"/>
              </w:rPr>
              <w:t>Reason for Change</w:t>
            </w:r>
            <w:r>
              <w:rPr>
                <w:rFonts w:ascii="Arial" w:eastAsia="Arial" w:hAnsi="Arial" w:cs="Arial"/>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E74B5"/>
          </w:tcPr>
          <w:p w14:paraId="20FDBCA1" w14:textId="77777777" w:rsidR="006824D3" w:rsidRDefault="00000000">
            <w:pPr>
              <w:spacing w:after="0" w:line="259" w:lineRule="auto"/>
              <w:ind w:left="116" w:firstLine="0"/>
            </w:pPr>
            <w:r>
              <w:rPr>
                <w:rFonts w:ascii="Arial" w:eastAsia="Arial" w:hAnsi="Arial" w:cs="Arial"/>
                <w:color w:val="FFFFFF"/>
              </w:rPr>
              <w:t>Date</w:t>
            </w:r>
            <w:r>
              <w:rPr>
                <w:rFonts w:ascii="Arial" w:eastAsia="Arial" w:hAnsi="Arial" w:cs="Arial"/>
              </w:rPr>
              <w:t xml:space="preserve"> </w:t>
            </w:r>
          </w:p>
        </w:tc>
      </w:tr>
      <w:tr w:rsidR="006824D3" w14:paraId="0C887BC1" w14:textId="77777777">
        <w:trPr>
          <w:trHeight w:val="1127"/>
        </w:trPr>
        <w:tc>
          <w:tcPr>
            <w:tcW w:w="4501" w:type="dxa"/>
            <w:tcBorders>
              <w:top w:val="single" w:sz="4" w:space="0" w:color="000000"/>
              <w:left w:val="single" w:sz="4" w:space="0" w:color="000000"/>
              <w:bottom w:val="single" w:sz="4" w:space="0" w:color="000000"/>
              <w:right w:val="single" w:sz="4" w:space="0" w:color="000000"/>
            </w:tcBorders>
          </w:tcPr>
          <w:p w14:paraId="7186AEC2" w14:textId="77777777" w:rsidR="006824D3" w:rsidRDefault="00000000">
            <w:pPr>
              <w:spacing w:after="0" w:line="259" w:lineRule="auto"/>
              <w:ind w:left="0" w:firstLine="0"/>
            </w:pPr>
            <w:r>
              <w:rPr>
                <w:sz w:val="20"/>
              </w:rPr>
              <w:t xml:space="preserve"> </w:t>
            </w:r>
          </w:p>
          <w:p w14:paraId="56EB319A" w14:textId="77777777" w:rsidR="006824D3" w:rsidRDefault="00000000">
            <w:pPr>
              <w:spacing w:after="171" w:line="259" w:lineRule="auto"/>
              <w:ind w:left="115" w:firstLine="0"/>
            </w:pPr>
            <w:r>
              <w:rPr>
                <w:sz w:val="20"/>
              </w:rPr>
              <w:t xml:space="preserve">Bill </w:t>
            </w:r>
            <w:proofErr w:type="spellStart"/>
            <w:r>
              <w:rPr>
                <w:sz w:val="20"/>
              </w:rPr>
              <w:t>Birckhead</w:t>
            </w:r>
            <w:proofErr w:type="spellEnd"/>
            <w:r>
              <w:rPr>
                <w:sz w:val="20"/>
              </w:rPr>
              <w:t xml:space="preserve"> – Service Level Management </w:t>
            </w:r>
          </w:p>
          <w:p w14:paraId="17DAB4CB" w14:textId="77777777" w:rsidR="006824D3" w:rsidRDefault="00000000">
            <w:pPr>
              <w:spacing w:after="0" w:line="259" w:lineRule="auto"/>
              <w:ind w:left="115" w:firstLine="0"/>
            </w:pPr>
            <w:r>
              <w:rPr>
                <w:sz w:val="20"/>
              </w:rPr>
              <w:t xml:space="preserve">Billy </w:t>
            </w:r>
            <w:proofErr w:type="spellStart"/>
            <w:r>
              <w:rPr>
                <w:sz w:val="20"/>
              </w:rPr>
              <w:t>Hylton</w:t>
            </w:r>
            <w:proofErr w:type="spellEnd"/>
            <w:r>
              <w:rPr>
                <w:sz w:val="20"/>
              </w:rPr>
              <w:t xml:space="preserve"> – Director, Digital Services </w:t>
            </w:r>
          </w:p>
        </w:tc>
        <w:tc>
          <w:tcPr>
            <w:tcW w:w="1080" w:type="dxa"/>
            <w:tcBorders>
              <w:top w:val="single" w:sz="4" w:space="0" w:color="000000"/>
              <w:left w:val="single" w:sz="4" w:space="0" w:color="000000"/>
              <w:bottom w:val="single" w:sz="4" w:space="0" w:color="000000"/>
              <w:right w:val="single" w:sz="4" w:space="0" w:color="000000"/>
            </w:tcBorders>
          </w:tcPr>
          <w:p w14:paraId="3C568D0A" w14:textId="77777777" w:rsidR="006824D3" w:rsidRDefault="00000000">
            <w:pPr>
              <w:spacing w:after="0" w:line="259" w:lineRule="auto"/>
              <w:ind w:left="1" w:firstLine="0"/>
            </w:pPr>
            <w:r>
              <w:rPr>
                <w:sz w:val="20"/>
              </w:rPr>
              <w:t xml:space="preserve"> </w:t>
            </w:r>
          </w:p>
          <w:p w14:paraId="5F6D8270" w14:textId="77777777" w:rsidR="006824D3" w:rsidRDefault="00000000">
            <w:pPr>
              <w:spacing w:after="0" w:line="259" w:lineRule="auto"/>
              <w:ind w:left="1" w:firstLine="0"/>
            </w:pPr>
            <w:r>
              <w:rPr>
                <w:sz w:val="20"/>
              </w:rPr>
              <w:t xml:space="preserve"> </w:t>
            </w:r>
          </w:p>
          <w:p w14:paraId="0731D94F" w14:textId="77777777" w:rsidR="006824D3" w:rsidRDefault="00000000">
            <w:pPr>
              <w:spacing w:after="0" w:line="259" w:lineRule="auto"/>
              <w:ind w:left="111" w:firstLine="0"/>
            </w:pPr>
            <w:r>
              <w:rPr>
                <w:sz w:val="20"/>
              </w:rPr>
              <w:t xml:space="preserve">1.0 </w:t>
            </w:r>
          </w:p>
        </w:tc>
        <w:tc>
          <w:tcPr>
            <w:tcW w:w="2701" w:type="dxa"/>
            <w:tcBorders>
              <w:top w:val="single" w:sz="4" w:space="0" w:color="000000"/>
              <w:left w:val="single" w:sz="4" w:space="0" w:color="000000"/>
              <w:bottom w:val="single" w:sz="4" w:space="0" w:color="000000"/>
              <w:right w:val="single" w:sz="4" w:space="0" w:color="000000"/>
            </w:tcBorders>
          </w:tcPr>
          <w:p w14:paraId="1E6A5E47" w14:textId="77777777" w:rsidR="006824D3" w:rsidRDefault="00000000">
            <w:pPr>
              <w:spacing w:after="0" w:line="259" w:lineRule="auto"/>
              <w:ind w:left="1" w:firstLine="0"/>
            </w:pPr>
            <w:r>
              <w:rPr>
                <w:sz w:val="20"/>
              </w:rPr>
              <w:t xml:space="preserve"> </w:t>
            </w:r>
          </w:p>
          <w:p w14:paraId="71AF9492" w14:textId="77777777" w:rsidR="006824D3" w:rsidRDefault="00000000">
            <w:pPr>
              <w:spacing w:after="0" w:line="259" w:lineRule="auto"/>
              <w:ind w:left="1" w:firstLine="0"/>
            </w:pPr>
            <w:r>
              <w:rPr>
                <w:sz w:val="20"/>
              </w:rPr>
              <w:t xml:space="preserve"> </w:t>
            </w:r>
          </w:p>
          <w:p w14:paraId="77E38984" w14:textId="77777777" w:rsidR="006824D3" w:rsidRDefault="00000000">
            <w:pPr>
              <w:spacing w:after="0" w:line="259" w:lineRule="auto"/>
              <w:ind w:left="111" w:firstLine="0"/>
            </w:pPr>
            <w:r>
              <w:rPr>
                <w:sz w:val="20"/>
              </w:rPr>
              <w:t xml:space="preserve">New format creation </w:t>
            </w:r>
          </w:p>
        </w:tc>
        <w:tc>
          <w:tcPr>
            <w:tcW w:w="1264" w:type="dxa"/>
            <w:tcBorders>
              <w:top w:val="single" w:sz="4" w:space="0" w:color="000000"/>
              <w:left w:val="single" w:sz="4" w:space="0" w:color="000000"/>
              <w:bottom w:val="single" w:sz="4" w:space="0" w:color="000000"/>
              <w:right w:val="single" w:sz="4" w:space="0" w:color="000000"/>
            </w:tcBorders>
          </w:tcPr>
          <w:p w14:paraId="6F1F7D1E" w14:textId="77777777" w:rsidR="006824D3" w:rsidRDefault="00000000">
            <w:pPr>
              <w:spacing w:after="0" w:line="259" w:lineRule="auto"/>
              <w:ind w:left="1" w:firstLine="0"/>
            </w:pPr>
            <w:r>
              <w:rPr>
                <w:sz w:val="20"/>
              </w:rPr>
              <w:t xml:space="preserve"> </w:t>
            </w:r>
          </w:p>
          <w:p w14:paraId="260FE4F5" w14:textId="77777777" w:rsidR="006824D3" w:rsidRDefault="00000000">
            <w:pPr>
              <w:spacing w:after="0" w:line="259" w:lineRule="auto"/>
              <w:ind w:left="1" w:firstLine="0"/>
            </w:pPr>
            <w:r>
              <w:rPr>
                <w:sz w:val="20"/>
              </w:rPr>
              <w:t xml:space="preserve"> </w:t>
            </w:r>
          </w:p>
          <w:p w14:paraId="4ACF44A0" w14:textId="77777777" w:rsidR="006824D3" w:rsidRDefault="00000000">
            <w:pPr>
              <w:spacing w:after="0" w:line="259" w:lineRule="auto"/>
              <w:ind w:left="116" w:firstLine="0"/>
            </w:pPr>
            <w:r>
              <w:rPr>
                <w:sz w:val="20"/>
              </w:rPr>
              <w:t xml:space="preserve">08/23/2016 </w:t>
            </w:r>
          </w:p>
        </w:tc>
      </w:tr>
      <w:tr w:rsidR="006824D3" w14:paraId="6C761A9D" w14:textId="77777777">
        <w:trPr>
          <w:trHeight w:val="1270"/>
        </w:trPr>
        <w:tc>
          <w:tcPr>
            <w:tcW w:w="4501" w:type="dxa"/>
            <w:tcBorders>
              <w:top w:val="single" w:sz="4" w:space="0" w:color="000000"/>
              <w:left w:val="single" w:sz="4" w:space="0" w:color="000000"/>
              <w:bottom w:val="single" w:sz="4" w:space="0" w:color="000000"/>
              <w:right w:val="single" w:sz="4" w:space="0" w:color="000000"/>
            </w:tcBorders>
          </w:tcPr>
          <w:p w14:paraId="6B00557B" w14:textId="77777777" w:rsidR="006824D3" w:rsidRDefault="00000000">
            <w:pPr>
              <w:spacing w:after="0" w:line="259" w:lineRule="auto"/>
              <w:ind w:left="0" w:firstLine="0"/>
            </w:pPr>
            <w:r>
              <w:rPr>
                <w:sz w:val="20"/>
              </w:rPr>
              <w:t xml:space="preserve"> </w:t>
            </w:r>
          </w:p>
          <w:p w14:paraId="06DC3CA2" w14:textId="77777777" w:rsidR="006824D3" w:rsidRDefault="00000000">
            <w:pPr>
              <w:spacing w:after="0" w:line="259" w:lineRule="auto"/>
              <w:ind w:left="0" w:firstLine="0"/>
            </w:pPr>
            <w:r>
              <w:rPr>
                <w:sz w:val="20"/>
              </w:rPr>
              <w:t xml:space="preserve"> </w:t>
            </w:r>
          </w:p>
          <w:p w14:paraId="4A0ECA86" w14:textId="77777777" w:rsidR="006824D3" w:rsidRDefault="00000000">
            <w:pPr>
              <w:spacing w:after="0" w:line="259" w:lineRule="auto"/>
              <w:ind w:left="115" w:firstLine="0"/>
            </w:pPr>
            <w:r>
              <w:rPr>
                <w:sz w:val="20"/>
              </w:rPr>
              <w:t xml:space="preserve">Bill </w:t>
            </w:r>
            <w:proofErr w:type="spellStart"/>
            <w:r>
              <w:rPr>
                <w:sz w:val="20"/>
              </w:rPr>
              <w:t>Birckhead</w:t>
            </w:r>
            <w:proofErr w:type="spellEnd"/>
            <w:r>
              <w:rPr>
                <w:sz w:val="20"/>
              </w:rPr>
              <w:t xml:space="preserve"> – Service Level Management </w:t>
            </w:r>
          </w:p>
        </w:tc>
        <w:tc>
          <w:tcPr>
            <w:tcW w:w="1080" w:type="dxa"/>
            <w:tcBorders>
              <w:top w:val="single" w:sz="4" w:space="0" w:color="000000"/>
              <w:left w:val="single" w:sz="4" w:space="0" w:color="000000"/>
              <w:bottom w:val="single" w:sz="4" w:space="0" w:color="000000"/>
              <w:right w:val="single" w:sz="4" w:space="0" w:color="000000"/>
            </w:tcBorders>
          </w:tcPr>
          <w:p w14:paraId="347C4EF2" w14:textId="77777777" w:rsidR="006824D3" w:rsidRDefault="00000000">
            <w:pPr>
              <w:spacing w:after="0" w:line="259" w:lineRule="auto"/>
              <w:ind w:left="1" w:firstLine="0"/>
            </w:pPr>
            <w:r>
              <w:rPr>
                <w:sz w:val="20"/>
              </w:rPr>
              <w:t xml:space="preserve"> </w:t>
            </w:r>
          </w:p>
          <w:p w14:paraId="1FED72B5" w14:textId="77777777" w:rsidR="006824D3" w:rsidRDefault="00000000">
            <w:pPr>
              <w:spacing w:after="0" w:line="259" w:lineRule="auto"/>
              <w:ind w:left="1" w:firstLine="0"/>
            </w:pPr>
            <w:r>
              <w:rPr>
                <w:sz w:val="20"/>
              </w:rPr>
              <w:t xml:space="preserve"> </w:t>
            </w:r>
          </w:p>
          <w:p w14:paraId="73564698" w14:textId="77777777" w:rsidR="006824D3" w:rsidRDefault="00000000">
            <w:pPr>
              <w:spacing w:after="0" w:line="259" w:lineRule="auto"/>
              <w:ind w:left="111" w:firstLine="0"/>
            </w:pPr>
            <w:r>
              <w:rPr>
                <w:sz w:val="20"/>
              </w:rPr>
              <w:t xml:space="preserve">2.0 </w:t>
            </w:r>
          </w:p>
        </w:tc>
        <w:tc>
          <w:tcPr>
            <w:tcW w:w="2701" w:type="dxa"/>
            <w:tcBorders>
              <w:top w:val="single" w:sz="4" w:space="0" w:color="000000"/>
              <w:left w:val="single" w:sz="4" w:space="0" w:color="000000"/>
              <w:bottom w:val="single" w:sz="4" w:space="0" w:color="000000"/>
              <w:right w:val="single" w:sz="4" w:space="0" w:color="000000"/>
            </w:tcBorders>
            <w:vAlign w:val="bottom"/>
          </w:tcPr>
          <w:p w14:paraId="4FDF21F0" w14:textId="77777777" w:rsidR="006824D3" w:rsidRDefault="00000000">
            <w:pPr>
              <w:spacing w:after="5" w:line="270" w:lineRule="auto"/>
              <w:ind w:left="111" w:firstLine="0"/>
            </w:pPr>
            <w:r>
              <w:rPr>
                <w:sz w:val="20"/>
              </w:rPr>
              <w:t xml:space="preserve">Revisions and updates - pertaining mainly to </w:t>
            </w:r>
            <w:proofErr w:type="gramStart"/>
            <w:r>
              <w:rPr>
                <w:sz w:val="20"/>
              </w:rPr>
              <w:t>revised</w:t>
            </w:r>
            <w:proofErr w:type="gramEnd"/>
            <w:r>
              <w:rPr>
                <w:sz w:val="20"/>
              </w:rPr>
              <w:t xml:space="preserve"> </w:t>
            </w:r>
          </w:p>
          <w:p w14:paraId="3E25E39B" w14:textId="77777777" w:rsidR="006824D3" w:rsidRDefault="00000000">
            <w:pPr>
              <w:spacing w:after="11" w:line="259" w:lineRule="auto"/>
              <w:ind w:left="111" w:firstLine="0"/>
            </w:pPr>
            <w:r>
              <w:rPr>
                <w:sz w:val="20"/>
              </w:rPr>
              <w:t xml:space="preserve">Incident Priority and Change </w:t>
            </w:r>
          </w:p>
          <w:p w14:paraId="4E998EF8" w14:textId="77777777" w:rsidR="006824D3" w:rsidRDefault="00000000">
            <w:pPr>
              <w:spacing w:after="0" w:line="259" w:lineRule="auto"/>
              <w:ind w:left="111" w:firstLine="0"/>
            </w:pPr>
            <w:r>
              <w:rPr>
                <w:sz w:val="20"/>
              </w:rPr>
              <w:t xml:space="preserve">Management </w:t>
            </w:r>
          </w:p>
        </w:tc>
        <w:tc>
          <w:tcPr>
            <w:tcW w:w="1264" w:type="dxa"/>
            <w:tcBorders>
              <w:top w:val="single" w:sz="4" w:space="0" w:color="000000"/>
              <w:left w:val="single" w:sz="4" w:space="0" w:color="000000"/>
              <w:bottom w:val="single" w:sz="4" w:space="0" w:color="000000"/>
              <w:right w:val="single" w:sz="4" w:space="0" w:color="000000"/>
            </w:tcBorders>
          </w:tcPr>
          <w:p w14:paraId="740E9BE1" w14:textId="77777777" w:rsidR="006824D3" w:rsidRDefault="00000000">
            <w:pPr>
              <w:spacing w:after="0" w:line="259" w:lineRule="auto"/>
              <w:ind w:left="1" w:firstLine="0"/>
            </w:pPr>
            <w:r>
              <w:rPr>
                <w:sz w:val="20"/>
              </w:rPr>
              <w:t xml:space="preserve"> </w:t>
            </w:r>
          </w:p>
          <w:p w14:paraId="6F7EF422" w14:textId="77777777" w:rsidR="006824D3" w:rsidRDefault="00000000">
            <w:pPr>
              <w:spacing w:after="0" w:line="259" w:lineRule="auto"/>
              <w:ind w:left="1" w:firstLine="0"/>
            </w:pPr>
            <w:r>
              <w:rPr>
                <w:sz w:val="20"/>
              </w:rPr>
              <w:t xml:space="preserve"> </w:t>
            </w:r>
          </w:p>
          <w:p w14:paraId="74689DAE" w14:textId="77777777" w:rsidR="006824D3" w:rsidRDefault="00000000">
            <w:pPr>
              <w:spacing w:after="0" w:line="259" w:lineRule="auto"/>
              <w:ind w:left="116" w:firstLine="0"/>
            </w:pPr>
            <w:r>
              <w:rPr>
                <w:sz w:val="20"/>
              </w:rPr>
              <w:t xml:space="preserve">10/24/2016 </w:t>
            </w:r>
          </w:p>
        </w:tc>
      </w:tr>
      <w:tr w:rsidR="006824D3" w14:paraId="2980955F" w14:textId="77777777">
        <w:trPr>
          <w:trHeight w:val="1270"/>
        </w:trPr>
        <w:tc>
          <w:tcPr>
            <w:tcW w:w="4501" w:type="dxa"/>
            <w:tcBorders>
              <w:top w:val="single" w:sz="4" w:space="0" w:color="000000"/>
              <w:left w:val="single" w:sz="4" w:space="0" w:color="000000"/>
              <w:bottom w:val="single" w:sz="4" w:space="0" w:color="000000"/>
              <w:right w:val="single" w:sz="4" w:space="0" w:color="000000"/>
            </w:tcBorders>
          </w:tcPr>
          <w:p w14:paraId="09E7E35D" w14:textId="77777777" w:rsidR="006824D3" w:rsidRDefault="00000000">
            <w:pPr>
              <w:spacing w:after="0" w:line="259" w:lineRule="auto"/>
              <w:ind w:left="0" w:firstLine="0"/>
            </w:pPr>
            <w:r>
              <w:rPr>
                <w:sz w:val="20"/>
              </w:rPr>
              <w:t xml:space="preserve"> </w:t>
            </w:r>
          </w:p>
          <w:p w14:paraId="200A10AC" w14:textId="77777777" w:rsidR="006824D3" w:rsidRDefault="00000000">
            <w:pPr>
              <w:spacing w:after="0" w:line="259" w:lineRule="auto"/>
              <w:ind w:left="0" w:firstLine="0"/>
            </w:pPr>
            <w:r>
              <w:rPr>
                <w:sz w:val="20"/>
              </w:rPr>
              <w:t xml:space="preserve"> </w:t>
            </w:r>
          </w:p>
          <w:p w14:paraId="3D2E5E91" w14:textId="77777777" w:rsidR="006824D3" w:rsidRDefault="00000000">
            <w:pPr>
              <w:spacing w:after="0" w:line="259" w:lineRule="auto"/>
              <w:ind w:left="115" w:firstLine="0"/>
            </w:pPr>
            <w:r>
              <w:rPr>
                <w:sz w:val="20"/>
              </w:rPr>
              <w:t xml:space="preserve">Billy </w:t>
            </w:r>
            <w:proofErr w:type="spellStart"/>
            <w:r>
              <w:rPr>
                <w:sz w:val="20"/>
              </w:rPr>
              <w:t>Hylton</w:t>
            </w:r>
            <w:proofErr w:type="spellEnd"/>
            <w:r>
              <w:rPr>
                <w:sz w:val="20"/>
              </w:rPr>
              <w:t xml:space="preserve"> – Director, Digital Services </w:t>
            </w:r>
          </w:p>
        </w:tc>
        <w:tc>
          <w:tcPr>
            <w:tcW w:w="1080" w:type="dxa"/>
            <w:tcBorders>
              <w:top w:val="single" w:sz="4" w:space="0" w:color="000000"/>
              <w:left w:val="single" w:sz="4" w:space="0" w:color="000000"/>
              <w:bottom w:val="single" w:sz="4" w:space="0" w:color="000000"/>
              <w:right w:val="single" w:sz="4" w:space="0" w:color="000000"/>
            </w:tcBorders>
          </w:tcPr>
          <w:p w14:paraId="36EEB07A" w14:textId="77777777" w:rsidR="006824D3" w:rsidRDefault="00000000">
            <w:pPr>
              <w:spacing w:after="0" w:line="259" w:lineRule="auto"/>
              <w:ind w:left="1" w:firstLine="0"/>
            </w:pPr>
            <w:r>
              <w:rPr>
                <w:sz w:val="20"/>
              </w:rPr>
              <w:t xml:space="preserve"> </w:t>
            </w:r>
          </w:p>
          <w:p w14:paraId="7DF4FCF4" w14:textId="77777777" w:rsidR="006824D3" w:rsidRDefault="00000000">
            <w:pPr>
              <w:spacing w:after="0" w:line="259" w:lineRule="auto"/>
              <w:ind w:left="1" w:firstLine="0"/>
            </w:pPr>
            <w:r>
              <w:rPr>
                <w:sz w:val="20"/>
              </w:rPr>
              <w:t xml:space="preserve"> </w:t>
            </w:r>
          </w:p>
          <w:p w14:paraId="3A99052B" w14:textId="77777777" w:rsidR="006824D3" w:rsidRDefault="00000000">
            <w:pPr>
              <w:spacing w:after="0" w:line="259" w:lineRule="auto"/>
              <w:ind w:left="111" w:firstLine="0"/>
            </w:pPr>
            <w:r>
              <w:rPr>
                <w:sz w:val="20"/>
              </w:rPr>
              <w:t xml:space="preserve">3.0 </w:t>
            </w:r>
          </w:p>
        </w:tc>
        <w:tc>
          <w:tcPr>
            <w:tcW w:w="2701" w:type="dxa"/>
            <w:tcBorders>
              <w:top w:val="single" w:sz="4" w:space="0" w:color="000000"/>
              <w:left w:val="single" w:sz="4" w:space="0" w:color="000000"/>
              <w:bottom w:val="single" w:sz="4" w:space="0" w:color="000000"/>
              <w:right w:val="single" w:sz="4" w:space="0" w:color="000000"/>
            </w:tcBorders>
            <w:vAlign w:val="bottom"/>
          </w:tcPr>
          <w:p w14:paraId="1B680516" w14:textId="77777777" w:rsidR="006824D3" w:rsidRDefault="00000000">
            <w:pPr>
              <w:spacing w:after="0" w:line="259" w:lineRule="auto"/>
              <w:ind w:left="111" w:right="279" w:firstLine="0"/>
              <w:jc w:val="both"/>
            </w:pPr>
            <w:r>
              <w:rPr>
                <w:sz w:val="20"/>
              </w:rPr>
              <w:t xml:space="preserve">Revisions and updates – AWS hosting information and technical architecture details. </w:t>
            </w:r>
          </w:p>
        </w:tc>
        <w:tc>
          <w:tcPr>
            <w:tcW w:w="1264" w:type="dxa"/>
            <w:tcBorders>
              <w:top w:val="single" w:sz="4" w:space="0" w:color="000000"/>
              <w:left w:val="single" w:sz="4" w:space="0" w:color="000000"/>
              <w:bottom w:val="single" w:sz="4" w:space="0" w:color="000000"/>
              <w:right w:val="single" w:sz="4" w:space="0" w:color="000000"/>
            </w:tcBorders>
          </w:tcPr>
          <w:p w14:paraId="0097D4E5" w14:textId="77777777" w:rsidR="006824D3" w:rsidRDefault="00000000">
            <w:pPr>
              <w:spacing w:after="0" w:line="259" w:lineRule="auto"/>
              <w:ind w:left="1" w:firstLine="0"/>
            </w:pPr>
            <w:r>
              <w:rPr>
                <w:sz w:val="20"/>
              </w:rPr>
              <w:t xml:space="preserve"> </w:t>
            </w:r>
          </w:p>
          <w:p w14:paraId="5BCEF5A2" w14:textId="77777777" w:rsidR="006824D3" w:rsidRDefault="00000000">
            <w:pPr>
              <w:spacing w:after="0" w:line="259" w:lineRule="auto"/>
              <w:ind w:left="1" w:firstLine="0"/>
            </w:pPr>
            <w:r>
              <w:rPr>
                <w:sz w:val="20"/>
              </w:rPr>
              <w:t xml:space="preserve"> </w:t>
            </w:r>
          </w:p>
          <w:p w14:paraId="2DB23AA5" w14:textId="77777777" w:rsidR="006824D3" w:rsidRDefault="00000000">
            <w:pPr>
              <w:spacing w:after="0" w:line="259" w:lineRule="auto"/>
              <w:ind w:left="116" w:firstLine="0"/>
            </w:pPr>
            <w:r>
              <w:rPr>
                <w:sz w:val="20"/>
              </w:rPr>
              <w:t xml:space="preserve">02/18/2018 </w:t>
            </w:r>
          </w:p>
        </w:tc>
      </w:tr>
      <w:tr w:rsidR="006824D3" w14:paraId="05299B87" w14:textId="77777777">
        <w:trPr>
          <w:trHeight w:val="1000"/>
        </w:trPr>
        <w:tc>
          <w:tcPr>
            <w:tcW w:w="4501" w:type="dxa"/>
            <w:tcBorders>
              <w:top w:val="single" w:sz="4" w:space="0" w:color="000000"/>
              <w:left w:val="single" w:sz="4" w:space="0" w:color="000000"/>
              <w:bottom w:val="single" w:sz="4" w:space="0" w:color="000000"/>
              <w:right w:val="single" w:sz="4" w:space="0" w:color="000000"/>
            </w:tcBorders>
          </w:tcPr>
          <w:p w14:paraId="44EF37A7" w14:textId="77777777" w:rsidR="006824D3" w:rsidRDefault="00000000">
            <w:pPr>
              <w:spacing w:after="127" w:line="259" w:lineRule="auto"/>
              <w:ind w:left="0" w:firstLine="0"/>
            </w:pPr>
            <w:r>
              <w:rPr>
                <w:sz w:val="20"/>
              </w:rPr>
              <w:t xml:space="preserve"> </w:t>
            </w:r>
          </w:p>
          <w:p w14:paraId="2836C8DA" w14:textId="77777777" w:rsidR="006824D3" w:rsidRDefault="00000000">
            <w:pPr>
              <w:spacing w:after="0" w:line="259" w:lineRule="auto"/>
              <w:ind w:left="115" w:firstLine="0"/>
            </w:pPr>
            <w:r>
              <w:rPr>
                <w:sz w:val="20"/>
              </w:rPr>
              <w:t xml:space="preserve">Billy </w:t>
            </w:r>
            <w:proofErr w:type="spellStart"/>
            <w:r>
              <w:rPr>
                <w:sz w:val="20"/>
              </w:rPr>
              <w:t>Hylton</w:t>
            </w:r>
            <w:proofErr w:type="spellEnd"/>
            <w:r>
              <w:rPr>
                <w:sz w:val="20"/>
              </w:rPr>
              <w:t xml:space="preserve"> – Director, Digital Services </w:t>
            </w:r>
          </w:p>
        </w:tc>
        <w:tc>
          <w:tcPr>
            <w:tcW w:w="1080" w:type="dxa"/>
            <w:tcBorders>
              <w:top w:val="single" w:sz="4" w:space="0" w:color="000000"/>
              <w:left w:val="single" w:sz="4" w:space="0" w:color="000000"/>
              <w:bottom w:val="single" w:sz="4" w:space="0" w:color="000000"/>
              <w:right w:val="single" w:sz="4" w:space="0" w:color="000000"/>
            </w:tcBorders>
          </w:tcPr>
          <w:p w14:paraId="58C41C19" w14:textId="77777777" w:rsidR="006824D3" w:rsidRDefault="00000000">
            <w:pPr>
              <w:spacing w:after="127" w:line="259" w:lineRule="auto"/>
              <w:ind w:left="1" w:firstLine="0"/>
            </w:pPr>
            <w:r>
              <w:rPr>
                <w:sz w:val="20"/>
              </w:rPr>
              <w:t xml:space="preserve"> </w:t>
            </w:r>
          </w:p>
          <w:p w14:paraId="7676E12B" w14:textId="77777777" w:rsidR="006824D3" w:rsidRDefault="00000000">
            <w:pPr>
              <w:spacing w:after="0" w:line="259" w:lineRule="auto"/>
              <w:ind w:left="111" w:firstLine="0"/>
            </w:pPr>
            <w:r>
              <w:rPr>
                <w:sz w:val="20"/>
              </w:rPr>
              <w:t xml:space="preserve">4.0 </w:t>
            </w:r>
          </w:p>
        </w:tc>
        <w:tc>
          <w:tcPr>
            <w:tcW w:w="2701" w:type="dxa"/>
            <w:tcBorders>
              <w:top w:val="single" w:sz="4" w:space="0" w:color="000000"/>
              <w:left w:val="single" w:sz="4" w:space="0" w:color="000000"/>
              <w:bottom w:val="single" w:sz="4" w:space="0" w:color="000000"/>
              <w:right w:val="single" w:sz="4" w:space="0" w:color="000000"/>
            </w:tcBorders>
            <w:vAlign w:val="bottom"/>
          </w:tcPr>
          <w:p w14:paraId="49A912A6" w14:textId="77777777" w:rsidR="006824D3" w:rsidRDefault="00000000">
            <w:pPr>
              <w:spacing w:after="0" w:line="259" w:lineRule="auto"/>
              <w:ind w:left="111" w:right="11" w:firstLine="0"/>
            </w:pPr>
            <w:r>
              <w:rPr>
                <w:sz w:val="20"/>
              </w:rPr>
              <w:t xml:space="preserve">Digital Commons maintenance window update </w:t>
            </w:r>
          </w:p>
        </w:tc>
        <w:tc>
          <w:tcPr>
            <w:tcW w:w="1264" w:type="dxa"/>
            <w:tcBorders>
              <w:top w:val="single" w:sz="4" w:space="0" w:color="000000"/>
              <w:left w:val="single" w:sz="4" w:space="0" w:color="000000"/>
              <w:bottom w:val="single" w:sz="4" w:space="0" w:color="000000"/>
              <w:right w:val="single" w:sz="4" w:space="0" w:color="000000"/>
            </w:tcBorders>
          </w:tcPr>
          <w:p w14:paraId="763D5706" w14:textId="77777777" w:rsidR="006824D3" w:rsidRDefault="00000000">
            <w:pPr>
              <w:spacing w:after="127" w:line="259" w:lineRule="auto"/>
              <w:ind w:left="1" w:firstLine="0"/>
            </w:pPr>
            <w:r>
              <w:rPr>
                <w:sz w:val="20"/>
              </w:rPr>
              <w:t xml:space="preserve"> </w:t>
            </w:r>
          </w:p>
          <w:p w14:paraId="2A407086" w14:textId="77777777" w:rsidR="006824D3" w:rsidRDefault="00000000">
            <w:pPr>
              <w:spacing w:after="0" w:line="259" w:lineRule="auto"/>
              <w:ind w:left="116" w:firstLine="0"/>
            </w:pPr>
            <w:r>
              <w:rPr>
                <w:sz w:val="20"/>
              </w:rPr>
              <w:t xml:space="preserve">04/05/2018 </w:t>
            </w:r>
          </w:p>
        </w:tc>
      </w:tr>
      <w:tr w:rsidR="006824D3" w14:paraId="33B0C628" w14:textId="77777777">
        <w:trPr>
          <w:trHeight w:val="1000"/>
        </w:trPr>
        <w:tc>
          <w:tcPr>
            <w:tcW w:w="4501" w:type="dxa"/>
            <w:tcBorders>
              <w:top w:val="single" w:sz="4" w:space="0" w:color="000000"/>
              <w:left w:val="single" w:sz="4" w:space="0" w:color="000000"/>
              <w:bottom w:val="single" w:sz="4" w:space="0" w:color="000000"/>
              <w:right w:val="single" w:sz="4" w:space="0" w:color="000000"/>
            </w:tcBorders>
          </w:tcPr>
          <w:p w14:paraId="28402B2A" w14:textId="77777777" w:rsidR="006824D3" w:rsidRDefault="00000000">
            <w:pPr>
              <w:spacing w:after="0" w:line="259" w:lineRule="auto"/>
              <w:ind w:left="145" w:firstLine="0"/>
            </w:pPr>
            <w:r>
              <w:rPr>
                <w:sz w:val="20"/>
              </w:rPr>
              <w:t xml:space="preserve"> </w:t>
            </w:r>
          </w:p>
          <w:p w14:paraId="40C4A8AC" w14:textId="77777777" w:rsidR="006824D3" w:rsidRDefault="00000000">
            <w:pPr>
              <w:spacing w:after="0" w:line="259" w:lineRule="auto"/>
              <w:ind w:left="145" w:firstLine="0"/>
            </w:pPr>
            <w:r>
              <w:rPr>
                <w:sz w:val="20"/>
              </w:rPr>
              <w:t xml:space="preserve">Billy </w:t>
            </w:r>
            <w:proofErr w:type="spellStart"/>
            <w:r>
              <w:rPr>
                <w:sz w:val="20"/>
              </w:rPr>
              <w:t>Hylton</w:t>
            </w:r>
            <w:proofErr w:type="spellEnd"/>
            <w:r>
              <w:rPr>
                <w:sz w:val="20"/>
              </w:rPr>
              <w:t xml:space="preserve"> – Director, Digital Services </w:t>
            </w:r>
          </w:p>
        </w:tc>
        <w:tc>
          <w:tcPr>
            <w:tcW w:w="1080" w:type="dxa"/>
            <w:tcBorders>
              <w:top w:val="single" w:sz="4" w:space="0" w:color="000000"/>
              <w:left w:val="single" w:sz="4" w:space="0" w:color="000000"/>
              <w:bottom w:val="single" w:sz="4" w:space="0" w:color="000000"/>
              <w:right w:val="single" w:sz="4" w:space="0" w:color="000000"/>
            </w:tcBorders>
          </w:tcPr>
          <w:p w14:paraId="5387B416" w14:textId="77777777" w:rsidR="006824D3" w:rsidRDefault="00000000">
            <w:pPr>
              <w:spacing w:after="0" w:line="259" w:lineRule="auto"/>
              <w:ind w:left="136" w:firstLine="0"/>
            </w:pPr>
            <w:r>
              <w:rPr>
                <w:sz w:val="20"/>
              </w:rPr>
              <w:t xml:space="preserve"> </w:t>
            </w:r>
          </w:p>
          <w:p w14:paraId="18149586" w14:textId="77777777" w:rsidR="006824D3" w:rsidRDefault="00000000">
            <w:pPr>
              <w:spacing w:after="0" w:line="259" w:lineRule="auto"/>
              <w:ind w:left="136" w:firstLine="0"/>
            </w:pPr>
            <w:r>
              <w:rPr>
                <w:sz w:val="20"/>
              </w:rPr>
              <w:t xml:space="preserve">5.0 </w:t>
            </w:r>
          </w:p>
        </w:tc>
        <w:tc>
          <w:tcPr>
            <w:tcW w:w="2701" w:type="dxa"/>
            <w:tcBorders>
              <w:top w:val="single" w:sz="4" w:space="0" w:color="000000"/>
              <w:left w:val="single" w:sz="4" w:space="0" w:color="000000"/>
              <w:bottom w:val="single" w:sz="4" w:space="0" w:color="000000"/>
              <w:right w:val="single" w:sz="4" w:space="0" w:color="000000"/>
            </w:tcBorders>
            <w:vAlign w:val="bottom"/>
          </w:tcPr>
          <w:p w14:paraId="68B8EDE0" w14:textId="77777777" w:rsidR="006824D3" w:rsidRDefault="00000000">
            <w:pPr>
              <w:spacing w:after="0" w:line="259" w:lineRule="auto"/>
              <w:ind w:left="111" w:right="609" w:firstLine="0"/>
            </w:pPr>
            <w:r>
              <w:rPr>
                <w:sz w:val="20"/>
              </w:rPr>
              <w:t xml:space="preserve">Revisions and updates – file management </w:t>
            </w:r>
          </w:p>
        </w:tc>
        <w:tc>
          <w:tcPr>
            <w:tcW w:w="1264" w:type="dxa"/>
            <w:tcBorders>
              <w:top w:val="single" w:sz="4" w:space="0" w:color="000000"/>
              <w:left w:val="single" w:sz="4" w:space="0" w:color="000000"/>
              <w:bottom w:val="single" w:sz="4" w:space="0" w:color="000000"/>
              <w:right w:val="single" w:sz="4" w:space="0" w:color="000000"/>
            </w:tcBorders>
          </w:tcPr>
          <w:p w14:paraId="198A8D0F" w14:textId="77777777" w:rsidR="006824D3" w:rsidRDefault="00000000">
            <w:pPr>
              <w:spacing w:after="0" w:line="259" w:lineRule="auto"/>
              <w:ind w:left="56" w:firstLine="0"/>
            </w:pPr>
            <w:r>
              <w:rPr>
                <w:sz w:val="20"/>
              </w:rPr>
              <w:t xml:space="preserve"> </w:t>
            </w:r>
          </w:p>
          <w:p w14:paraId="73523464" w14:textId="77777777" w:rsidR="006824D3" w:rsidRDefault="00000000">
            <w:pPr>
              <w:spacing w:after="0" w:line="259" w:lineRule="auto"/>
              <w:ind w:left="56" w:firstLine="0"/>
            </w:pPr>
            <w:r>
              <w:rPr>
                <w:sz w:val="20"/>
              </w:rPr>
              <w:t xml:space="preserve">02/19/2020 </w:t>
            </w:r>
          </w:p>
        </w:tc>
      </w:tr>
      <w:tr w:rsidR="006824D3" w14:paraId="010D8225" w14:textId="77777777">
        <w:trPr>
          <w:trHeight w:val="1001"/>
        </w:trPr>
        <w:tc>
          <w:tcPr>
            <w:tcW w:w="4501" w:type="dxa"/>
            <w:tcBorders>
              <w:top w:val="single" w:sz="4" w:space="0" w:color="000000"/>
              <w:left w:val="single" w:sz="4" w:space="0" w:color="000000"/>
              <w:bottom w:val="single" w:sz="4" w:space="0" w:color="000000"/>
              <w:right w:val="single" w:sz="4" w:space="0" w:color="000000"/>
            </w:tcBorders>
          </w:tcPr>
          <w:p w14:paraId="1FAEC0AE" w14:textId="77777777" w:rsidR="006824D3" w:rsidRDefault="00000000">
            <w:pPr>
              <w:spacing w:after="0" w:line="259" w:lineRule="auto"/>
              <w:ind w:left="145" w:firstLine="0"/>
            </w:pPr>
            <w:r>
              <w:rPr>
                <w:sz w:val="20"/>
              </w:rPr>
              <w:t xml:space="preserve">Nicole Meister—Director, Digital Services </w:t>
            </w:r>
          </w:p>
        </w:tc>
        <w:tc>
          <w:tcPr>
            <w:tcW w:w="1080" w:type="dxa"/>
            <w:tcBorders>
              <w:top w:val="single" w:sz="4" w:space="0" w:color="000000"/>
              <w:left w:val="single" w:sz="4" w:space="0" w:color="000000"/>
              <w:bottom w:val="single" w:sz="4" w:space="0" w:color="000000"/>
              <w:right w:val="single" w:sz="4" w:space="0" w:color="000000"/>
            </w:tcBorders>
          </w:tcPr>
          <w:p w14:paraId="0E228604" w14:textId="77777777" w:rsidR="006824D3" w:rsidRDefault="00000000">
            <w:pPr>
              <w:spacing w:after="0" w:line="259" w:lineRule="auto"/>
              <w:ind w:left="136" w:firstLine="0"/>
            </w:pPr>
            <w:r>
              <w:rPr>
                <w:sz w:val="20"/>
              </w:rPr>
              <w:t xml:space="preserve">6.0 </w:t>
            </w:r>
          </w:p>
        </w:tc>
        <w:tc>
          <w:tcPr>
            <w:tcW w:w="2701" w:type="dxa"/>
            <w:tcBorders>
              <w:top w:val="single" w:sz="4" w:space="0" w:color="000000"/>
              <w:left w:val="single" w:sz="4" w:space="0" w:color="000000"/>
              <w:bottom w:val="single" w:sz="4" w:space="0" w:color="000000"/>
              <w:right w:val="single" w:sz="4" w:space="0" w:color="000000"/>
            </w:tcBorders>
            <w:vAlign w:val="bottom"/>
          </w:tcPr>
          <w:p w14:paraId="5D7C00C6" w14:textId="77777777" w:rsidR="006824D3" w:rsidRDefault="00000000">
            <w:pPr>
              <w:spacing w:after="0" w:line="259" w:lineRule="auto"/>
              <w:ind w:left="111" w:right="609" w:firstLine="0"/>
            </w:pPr>
            <w:r>
              <w:rPr>
                <w:sz w:val="20"/>
              </w:rPr>
              <w:t xml:space="preserve">Revisions and updates - personnel, maintenance window </w:t>
            </w:r>
          </w:p>
        </w:tc>
        <w:tc>
          <w:tcPr>
            <w:tcW w:w="1264" w:type="dxa"/>
            <w:tcBorders>
              <w:top w:val="single" w:sz="4" w:space="0" w:color="000000"/>
              <w:left w:val="single" w:sz="4" w:space="0" w:color="000000"/>
              <w:bottom w:val="single" w:sz="4" w:space="0" w:color="000000"/>
              <w:right w:val="single" w:sz="4" w:space="0" w:color="000000"/>
            </w:tcBorders>
          </w:tcPr>
          <w:p w14:paraId="7936840B" w14:textId="77777777" w:rsidR="006824D3" w:rsidRDefault="00000000">
            <w:pPr>
              <w:spacing w:after="0" w:line="259" w:lineRule="auto"/>
              <w:ind w:left="56" w:firstLine="0"/>
            </w:pPr>
            <w:r>
              <w:rPr>
                <w:sz w:val="20"/>
              </w:rPr>
              <w:t xml:space="preserve">09/01/2021 </w:t>
            </w:r>
          </w:p>
          <w:p w14:paraId="3B748B37" w14:textId="77777777" w:rsidR="006824D3" w:rsidRDefault="00000000">
            <w:pPr>
              <w:spacing w:after="0" w:line="259" w:lineRule="auto"/>
              <w:ind w:left="56" w:firstLine="0"/>
            </w:pPr>
            <w:r>
              <w:rPr>
                <w:sz w:val="20"/>
              </w:rPr>
              <w:t xml:space="preserve"> </w:t>
            </w:r>
          </w:p>
        </w:tc>
      </w:tr>
      <w:tr w:rsidR="006824D3" w14:paraId="5CD3A82A" w14:textId="77777777">
        <w:trPr>
          <w:trHeight w:val="290"/>
        </w:trPr>
        <w:tc>
          <w:tcPr>
            <w:tcW w:w="4501" w:type="dxa"/>
            <w:tcBorders>
              <w:top w:val="single" w:sz="4" w:space="0" w:color="000000"/>
              <w:left w:val="single" w:sz="4" w:space="0" w:color="000000"/>
              <w:bottom w:val="single" w:sz="4" w:space="0" w:color="000000"/>
              <w:right w:val="single" w:sz="4" w:space="0" w:color="000000"/>
            </w:tcBorders>
          </w:tcPr>
          <w:p w14:paraId="7E466BA7" w14:textId="77777777" w:rsidR="006824D3" w:rsidRDefault="00000000">
            <w:pPr>
              <w:spacing w:after="0" w:line="259" w:lineRule="auto"/>
              <w:ind w:left="145" w:firstLine="0"/>
            </w:pPr>
            <w:r>
              <w:rPr>
                <w:sz w:val="20"/>
              </w:rPr>
              <w:t xml:space="preserve">Srini Sunkara—Director, Enterprise Operations </w:t>
            </w:r>
          </w:p>
        </w:tc>
        <w:tc>
          <w:tcPr>
            <w:tcW w:w="1080" w:type="dxa"/>
            <w:tcBorders>
              <w:top w:val="single" w:sz="4" w:space="0" w:color="000000"/>
              <w:left w:val="single" w:sz="4" w:space="0" w:color="000000"/>
              <w:bottom w:val="single" w:sz="4" w:space="0" w:color="000000"/>
              <w:right w:val="single" w:sz="4" w:space="0" w:color="000000"/>
            </w:tcBorders>
          </w:tcPr>
          <w:p w14:paraId="6E9CD7EF" w14:textId="77777777" w:rsidR="006824D3" w:rsidRDefault="00000000">
            <w:pPr>
              <w:spacing w:after="0" w:line="259" w:lineRule="auto"/>
              <w:ind w:left="136" w:firstLine="0"/>
            </w:pPr>
            <w:r>
              <w:rPr>
                <w:sz w:val="20"/>
              </w:rPr>
              <w:t xml:space="preserve">7.0 </w:t>
            </w:r>
          </w:p>
        </w:tc>
        <w:tc>
          <w:tcPr>
            <w:tcW w:w="2701" w:type="dxa"/>
            <w:tcBorders>
              <w:top w:val="single" w:sz="4" w:space="0" w:color="000000"/>
              <w:left w:val="single" w:sz="4" w:space="0" w:color="000000"/>
              <w:bottom w:val="single" w:sz="4" w:space="0" w:color="000000"/>
              <w:right w:val="single" w:sz="4" w:space="0" w:color="000000"/>
            </w:tcBorders>
          </w:tcPr>
          <w:p w14:paraId="1214D15B" w14:textId="77777777" w:rsidR="006824D3" w:rsidRDefault="00000000">
            <w:pPr>
              <w:spacing w:after="0" w:line="259" w:lineRule="auto"/>
              <w:ind w:left="136" w:firstLine="0"/>
            </w:pPr>
            <w:r>
              <w:rPr>
                <w:sz w:val="20"/>
              </w:rPr>
              <w:t xml:space="preserve">Revisions and updates </w:t>
            </w:r>
          </w:p>
        </w:tc>
        <w:tc>
          <w:tcPr>
            <w:tcW w:w="1264" w:type="dxa"/>
            <w:tcBorders>
              <w:top w:val="single" w:sz="4" w:space="0" w:color="000000"/>
              <w:left w:val="single" w:sz="4" w:space="0" w:color="000000"/>
              <w:bottom w:val="single" w:sz="4" w:space="0" w:color="000000"/>
              <w:right w:val="single" w:sz="4" w:space="0" w:color="000000"/>
            </w:tcBorders>
          </w:tcPr>
          <w:p w14:paraId="43B04854" w14:textId="77777777" w:rsidR="006824D3" w:rsidRDefault="00000000">
            <w:pPr>
              <w:spacing w:after="0" w:line="259" w:lineRule="auto"/>
              <w:ind w:left="56" w:firstLine="0"/>
            </w:pPr>
            <w:r>
              <w:rPr>
                <w:sz w:val="20"/>
              </w:rPr>
              <w:t xml:space="preserve">03/03/2022 </w:t>
            </w:r>
          </w:p>
        </w:tc>
      </w:tr>
      <w:tr w:rsidR="006824D3" w14:paraId="0645FA83" w14:textId="77777777">
        <w:trPr>
          <w:trHeight w:val="290"/>
        </w:trPr>
        <w:tc>
          <w:tcPr>
            <w:tcW w:w="4501" w:type="dxa"/>
            <w:tcBorders>
              <w:top w:val="single" w:sz="4" w:space="0" w:color="000000"/>
              <w:left w:val="single" w:sz="4" w:space="0" w:color="000000"/>
              <w:bottom w:val="single" w:sz="4" w:space="0" w:color="000000"/>
              <w:right w:val="single" w:sz="4" w:space="0" w:color="000000"/>
            </w:tcBorders>
          </w:tcPr>
          <w:p w14:paraId="3EE73171" w14:textId="77777777" w:rsidR="006824D3" w:rsidRDefault="00000000">
            <w:pPr>
              <w:spacing w:after="0" w:line="259" w:lineRule="auto"/>
              <w:ind w:left="145" w:firstLine="0"/>
            </w:pPr>
            <w:r>
              <w:rPr>
                <w:sz w:val="20"/>
              </w:rPr>
              <w:t xml:space="preserve">Srini Sunkara—Director, Enterprise Operations </w:t>
            </w:r>
          </w:p>
        </w:tc>
        <w:tc>
          <w:tcPr>
            <w:tcW w:w="1080" w:type="dxa"/>
            <w:tcBorders>
              <w:top w:val="single" w:sz="4" w:space="0" w:color="000000"/>
              <w:left w:val="single" w:sz="4" w:space="0" w:color="000000"/>
              <w:bottom w:val="single" w:sz="4" w:space="0" w:color="000000"/>
              <w:right w:val="single" w:sz="4" w:space="0" w:color="000000"/>
            </w:tcBorders>
          </w:tcPr>
          <w:p w14:paraId="4660A241" w14:textId="77777777" w:rsidR="006824D3" w:rsidRDefault="00000000">
            <w:pPr>
              <w:spacing w:after="0" w:line="259" w:lineRule="auto"/>
              <w:ind w:left="136" w:firstLine="0"/>
            </w:pPr>
            <w:r>
              <w:rPr>
                <w:sz w:val="20"/>
              </w:rPr>
              <w:t xml:space="preserve">8.0 </w:t>
            </w:r>
          </w:p>
        </w:tc>
        <w:tc>
          <w:tcPr>
            <w:tcW w:w="2701" w:type="dxa"/>
            <w:tcBorders>
              <w:top w:val="single" w:sz="4" w:space="0" w:color="000000"/>
              <w:left w:val="single" w:sz="4" w:space="0" w:color="000000"/>
              <w:bottom w:val="single" w:sz="4" w:space="0" w:color="000000"/>
              <w:right w:val="single" w:sz="4" w:space="0" w:color="000000"/>
            </w:tcBorders>
          </w:tcPr>
          <w:p w14:paraId="043D682A" w14:textId="77777777" w:rsidR="006824D3" w:rsidRDefault="00000000">
            <w:pPr>
              <w:spacing w:after="0" w:line="259" w:lineRule="auto"/>
              <w:ind w:left="136" w:firstLine="0"/>
            </w:pPr>
            <w:r>
              <w:rPr>
                <w:sz w:val="20"/>
              </w:rPr>
              <w:t xml:space="preserve">Revision to SSL cert </w:t>
            </w:r>
          </w:p>
        </w:tc>
        <w:tc>
          <w:tcPr>
            <w:tcW w:w="1264" w:type="dxa"/>
            <w:tcBorders>
              <w:top w:val="single" w:sz="4" w:space="0" w:color="000000"/>
              <w:left w:val="single" w:sz="4" w:space="0" w:color="000000"/>
              <w:bottom w:val="single" w:sz="4" w:space="0" w:color="000000"/>
              <w:right w:val="single" w:sz="4" w:space="0" w:color="000000"/>
            </w:tcBorders>
          </w:tcPr>
          <w:p w14:paraId="42D1D0D9" w14:textId="77777777" w:rsidR="006824D3" w:rsidRDefault="00000000">
            <w:pPr>
              <w:spacing w:after="0" w:line="259" w:lineRule="auto"/>
              <w:ind w:left="56" w:firstLine="0"/>
            </w:pPr>
            <w:r>
              <w:rPr>
                <w:sz w:val="20"/>
              </w:rPr>
              <w:t xml:space="preserve">03/14/2022 </w:t>
            </w:r>
          </w:p>
        </w:tc>
      </w:tr>
    </w:tbl>
    <w:p w14:paraId="45A839B9" w14:textId="77777777" w:rsidR="006824D3" w:rsidRDefault="00000000">
      <w:pPr>
        <w:spacing w:after="0" w:line="259" w:lineRule="auto"/>
        <w:ind w:left="0" w:firstLine="0"/>
      </w:pPr>
      <w:r>
        <w:rPr>
          <w:rFonts w:ascii="Arial" w:eastAsia="Arial" w:hAnsi="Arial" w:cs="Arial"/>
          <w:sz w:val="19"/>
        </w:rPr>
        <w:t xml:space="preserve"> </w:t>
      </w:r>
    </w:p>
    <w:p w14:paraId="61BB48A5" w14:textId="77777777" w:rsidR="006824D3" w:rsidRDefault="00000000">
      <w:pPr>
        <w:spacing w:after="0" w:line="236" w:lineRule="auto"/>
        <w:ind w:left="0" w:right="7142" w:firstLine="0"/>
        <w:jc w:val="right"/>
      </w:pPr>
      <w:r>
        <w:rPr>
          <w:rFonts w:ascii="Arial" w:eastAsia="Arial" w:hAnsi="Arial" w:cs="Arial"/>
          <w:sz w:val="19"/>
        </w:rPr>
        <w:t xml:space="preserve">  </w:t>
      </w:r>
      <w:r>
        <w:rPr>
          <w:rFonts w:ascii="Arial" w:eastAsia="Arial" w:hAnsi="Arial" w:cs="Arial"/>
          <w:sz w:val="19"/>
        </w:rPr>
        <w:tab/>
        <w:t xml:space="preserve"> </w:t>
      </w:r>
    </w:p>
    <w:sdt>
      <w:sdtPr>
        <w:id w:val="-1800056931"/>
        <w:docPartObj>
          <w:docPartGallery w:val="Table of Contents"/>
        </w:docPartObj>
      </w:sdtPr>
      <w:sdtContent>
        <w:p w14:paraId="68DEC4FF" w14:textId="77777777" w:rsidR="006824D3" w:rsidRDefault="00000000">
          <w:pPr>
            <w:spacing w:after="0" w:line="259" w:lineRule="auto"/>
            <w:ind w:left="0" w:right="724" w:firstLine="0"/>
            <w:jc w:val="center"/>
          </w:pPr>
          <w:r>
            <w:rPr>
              <w:rFonts w:ascii="Arial" w:eastAsia="Arial" w:hAnsi="Arial" w:cs="Arial"/>
              <w:color w:val="2E74B5"/>
            </w:rPr>
            <w:t xml:space="preserve">Table of Contents </w:t>
          </w:r>
        </w:p>
        <w:p w14:paraId="4538496C" w14:textId="77777777" w:rsidR="006824D3" w:rsidRDefault="00000000">
          <w:pPr>
            <w:spacing w:after="138" w:line="259" w:lineRule="auto"/>
            <w:ind w:left="0" w:firstLine="0"/>
          </w:pPr>
          <w:r>
            <w:rPr>
              <w:rFonts w:ascii="Arial" w:eastAsia="Arial" w:hAnsi="Arial" w:cs="Arial"/>
              <w:sz w:val="22"/>
            </w:rPr>
            <w:t xml:space="preserve"> </w:t>
          </w:r>
        </w:p>
        <w:p w14:paraId="1B658576" w14:textId="77777777" w:rsidR="006824D3" w:rsidRDefault="00000000">
          <w:pPr>
            <w:pStyle w:val="TOC1"/>
            <w:tabs>
              <w:tab w:val="right" w:leader="dot" w:pos="10076"/>
            </w:tabs>
          </w:pPr>
          <w:r>
            <w:fldChar w:fldCharType="begin"/>
          </w:r>
          <w:r>
            <w:instrText xml:space="preserve"> TOC \o "1-1" \h \z \u </w:instrText>
          </w:r>
          <w:r>
            <w:fldChar w:fldCharType="separate"/>
          </w:r>
          <w:hyperlink w:anchor="_Toc20280">
            <w:r>
              <w:t>1  Objective</w:t>
            </w:r>
            <w:r>
              <w:tab/>
            </w:r>
            <w:r>
              <w:fldChar w:fldCharType="begin"/>
            </w:r>
            <w:r>
              <w:instrText>PAGEREF _Toc20280 \h</w:instrText>
            </w:r>
            <w:r>
              <w:fldChar w:fldCharType="separate"/>
            </w:r>
            <w:r>
              <w:t xml:space="preserve">4 </w:t>
            </w:r>
            <w:r>
              <w:fldChar w:fldCharType="end"/>
            </w:r>
          </w:hyperlink>
        </w:p>
        <w:p w14:paraId="20BDAF73" w14:textId="77777777" w:rsidR="006824D3" w:rsidRDefault="00000000">
          <w:pPr>
            <w:pStyle w:val="TOC1"/>
            <w:tabs>
              <w:tab w:val="right" w:leader="dot" w:pos="10076"/>
            </w:tabs>
          </w:pPr>
          <w:hyperlink w:anchor="_Toc20281">
            <w:r>
              <w:t>2  Digital Commons Service Description</w:t>
            </w:r>
            <w:r>
              <w:tab/>
            </w:r>
            <w:r>
              <w:fldChar w:fldCharType="begin"/>
            </w:r>
            <w:r>
              <w:instrText>PAGEREF _Toc20281 \h</w:instrText>
            </w:r>
            <w:r>
              <w:fldChar w:fldCharType="separate"/>
            </w:r>
            <w:r>
              <w:t xml:space="preserve">4 </w:t>
            </w:r>
            <w:r>
              <w:fldChar w:fldCharType="end"/>
            </w:r>
          </w:hyperlink>
        </w:p>
        <w:p w14:paraId="28008F5E" w14:textId="77777777" w:rsidR="006824D3" w:rsidRDefault="00000000">
          <w:pPr>
            <w:pStyle w:val="TOC1"/>
            <w:tabs>
              <w:tab w:val="right" w:leader="dot" w:pos="10076"/>
            </w:tabs>
          </w:pPr>
          <w:hyperlink w:anchor="_Toc20282">
            <w:r>
              <w:t>3  Vendor Service Levels specific to Digital Commons</w:t>
            </w:r>
            <w:r>
              <w:tab/>
            </w:r>
            <w:r>
              <w:fldChar w:fldCharType="begin"/>
            </w:r>
            <w:r>
              <w:instrText>PAGEREF _Toc20282 \h</w:instrText>
            </w:r>
            <w:r>
              <w:fldChar w:fldCharType="separate"/>
            </w:r>
            <w:r>
              <w:t xml:space="preserve">6 </w:t>
            </w:r>
            <w:r>
              <w:fldChar w:fldCharType="end"/>
            </w:r>
          </w:hyperlink>
        </w:p>
        <w:p w14:paraId="3888D2A7" w14:textId="77777777" w:rsidR="006824D3" w:rsidRDefault="00000000">
          <w:pPr>
            <w:pStyle w:val="TOC1"/>
            <w:tabs>
              <w:tab w:val="right" w:leader="dot" w:pos="10076"/>
            </w:tabs>
          </w:pPr>
          <w:hyperlink w:anchor="_Toc20283">
            <w:r>
              <w:t>4  DIT Roles and Responsibilities, Specific to this Service</w:t>
            </w:r>
            <w:r>
              <w:tab/>
            </w:r>
            <w:r>
              <w:fldChar w:fldCharType="begin"/>
            </w:r>
            <w:r>
              <w:instrText>PAGEREF _Toc20283 \h</w:instrText>
            </w:r>
            <w:r>
              <w:fldChar w:fldCharType="separate"/>
            </w:r>
            <w:r>
              <w:t xml:space="preserve">6 </w:t>
            </w:r>
            <w:r>
              <w:fldChar w:fldCharType="end"/>
            </w:r>
          </w:hyperlink>
        </w:p>
        <w:p w14:paraId="740631C6" w14:textId="77777777" w:rsidR="006824D3" w:rsidRDefault="00000000">
          <w:pPr>
            <w:pStyle w:val="TOC1"/>
            <w:tabs>
              <w:tab w:val="right" w:leader="dot" w:pos="10076"/>
            </w:tabs>
          </w:pPr>
          <w:hyperlink w:anchor="_Toc20284">
            <w:r>
              <w:t>5  Customer Roles and Responsibilities Specific to the Service</w:t>
            </w:r>
            <w:r>
              <w:tab/>
            </w:r>
            <w:r>
              <w:fldChar w:fldCharType="begin"/>
            </w:r>
            <w:r>
              <w:instrText>PAGEREF _Toc20284 \h</w:instrText>
            </w:r>
            <w:r>
              <w:fldChar w:fldCharType="separate"/>
            </w:r>
            <w:r>
              <w:t xml:space="preserve">7 </w:t>
            </w:r>
            <w:r>
              <w:fldChar w:fldCharType="end"/>
            </w:r>
          </w:hyperlink>
        </w:p>
        <w:p w14:paraId="2CB0625B" w14:textId="77777777" w:rsidR="006824D3" w:rsidRDefault="00000000">
          <w:pPr>
            <w:pStyle w:val="TOC1"/>
            <w:tabs>
              <w:tab w:val="right" w:leader="dot" w:pos="10076"/>
            </w:tabs>
          </w:pPr>
          <w:hyperlink w:anchor="_Toc20285">
            <w:r>
              <w:t>6  Post Implementation requests for changes to the Customer’s Service</w:t>
            </w:r>
            <w:r>
              <w:tab/>
            </w:r>
            <w:r>
              <w:fldChar w:fldCharType="begin"/>
            </w:r>
            <w:r>
              <w:instrText>PAGEREF _Toc20285 \h</w:instrText>
            </w:r>
            <w:r>
              <w:fldChar w:fldCharType="separate"/>
            </w:r>
            <w:r>
              <w:t xml:space="preserve">8 </w:t>
            </w:r>
            <w:r>
              <w:fldChar w:fldCharType="end"/>
            </w:r>
          </w:hyperlink>
        </w:p>
        <w:p w14:paraId="05BA066B" w14:textId="77777777" w:rsidR="006824D3" w:rsidRDefault="00000000">
          <w:pPr>
            <w:pStyle w:val="TOC1"/>
            <w:tabs>
              <w:tab w:val="right" w:leader="dot" w:pos="10076"/>
            </w:tabs>
          </w:pPr>
          <w:hyperlink w:anchor="_Toc20286">
            <w:r>
              <w:t>7  Standard Global Service Levels</w:t>
            </w:r>
            <w:r>
              <w:tab/>
            </w:r>
            <w:r>
              <w:fldChar w:fldCharType="begin"/>
            </w:r>
            <w:r>
              <w:instrText>PAGEREF _Toc20286 \h</w:instrText>
            </w:r>
            <w:r>
              <w:fldChar w:fldCharType="separate"/>
            </w:r>
            <w:r>
              <w:t xml:space="preserve">9 </w:t>
            </w:r>
            <w:r>
              <w:fldChar w:fldCharType="end"/>
            </w:r>
          </w:hyperlink>
        </w:p>
        <w:p w14:paraId="4C94E3AE" w14:textId="77777777" w:rsidR="006824D3" w:rsidRDefault="00000000">
          <w:pPr>
            <w:pStyle w:val="TOC1"/>
            <w:tabs>
              <w:tab w:val="right" w:leader="dot" w:pos="10076"/>
            </w:tabs>
          </w:pPr>
          <w:hyperlink w:anchor="_Toc20287">
            <w:r>
              <w:t>8  Incidents and Service Requests</w:t>
            </w:r>
            <w:r>
              <w:tab/>
            </w:r>
            <w:r>
              <w:fldChar w:fldCharType="begin"/>
            </w:r>
            <w:r>
              <w:instrText>PAGEREF _Toc20287 \h</w:instrText>
            </w:r>
            <w:r>
              <w:fldChar w:fldCharType="separate"/>
            </w:r>
            <w:r>
              <w:t xml:space="preserve">10 </w:t>
            </w:r>
            <w:r>
              <w:fldChar w:fldCharType="end"/>
            </w:r>
          </w:hyperlink>
        </w:p>
        <w:p w14:paraId="06EF5585" w14:textId="77777777" w:rsidR="006824D3" w:rsidRDefault="00000000">
          <w:pPr>
            <w:pStyle w:val="TOC1"/>
            <w:tabs>
              <w:tab w:val="right" w:leader="dot" w:pos="10076"/>
            </w:tabs>
          </w:pPr>
          <w:hyperlink w:anchor="_Toc20288">
            <w:r>
              <w:t>9  Global, Standard Change Management</w:t>
            </w:r>
            <w:r>
              <w:tab/>
            </w:r>
            <w:r>
              <w:fldChar w:fldCharType="begin"/>
            </w:r>
            <w:r>
              <w:instrText>PAGEREF _Toc20288 \h</w:instrText>
            </w:r>
            <w:r>
              <w:fldChar w:fldCharType="separate"/>
            </w:r>
            <w:r>
              <w:t xml:space="preserve">11 </w:t>
            </w:r>
            <w:r>
              <w:fldChar w:fldCharType="end"/>
            </w:r>
          </w:hyperlink>
        </w:p>
        <w:p w14:paraId="26B0717C" w14:textId="77777777" w:rsidR="006824D3" w:rsidRDefault="00000000">
          <w:pPr>
            <w:pStyle w:val="TOC1"/>
            <w:tabs>
              <w:tab w:val="right" w:leader="dot" w:pos="10076"/>
            </w:tabs>
          </w:pPr>
          <w:hyperlink w:anchor="_Toc20289">
            <w:r>
              <w:t>10  Customer Communication</w:t>
            </w:r>
            <w:r>
              <w:tab/>
            </w:r>
            <w:r>
              <w:fldChar w:fldCharType="begin"/>
            </w:r>
            <w:r>
              <w:instrText>PAGEREF _Toc20289 \h</w:instrText>
            </w:r>
            <w:r>
              <w:fldChar w:fldCharType="separate"/>
            </w:r>
            <w:r>
              <w:t xml:space="preserve">12 </w:t>
            </w:r>
            <w:r>
              <w:fldChar w:fldCharType="end"/>
            </w:r>
          </w:hyperlink>
        </w:p>
        <w:p w14:paraId="59FE754A" w14:textId="77777777" w:rsidR="006824D3" w:rsidRDefault="00000000">
          <w:pPr>
            <w:pStyle w:val="TOC1"/>
            <w:tabs>
              <w:tab w:val="right" w:leader="dot" w:pos="10076"/>
            </w:tabs>
          </w:pPr>
          <w:hyperlink w:anchor="_Toc20290">
            <w:r>
              <w:t>11  Security Standards and Policies</w:t>
            </w:r>
            <w:r>
              <w:tab/>
            </w:r>
            <w:r>
              <w:fldChar w:fldCharType="begin"/>
            </w:r>
            <w:r>
              <w:instrText>PAGEREF _Toc20290 \h</w:instrText>
            </w:r>
            <w:r>
              <w:fldChar w:fldCharType="separate"/>
            </w:r>
            <w:r>
              <w:t xml:space="preserve">12 </w:t>
            </w:r>
            <w:r>
              <w:fldChar w:fldCharType="end"/>
            </w:r>
          </w:hyperlink>
        </w:p>
        <w:p w14:paraId="11E69085" w14:textId="77777777" w:rsidR="006824D3" w:rsidRDefault="00000000">
          <w:pPr>
            <w:pStyle w:val="TOC1"/>
            <w:tabs>
              <w:tab w:val="right" w:leader="dot" w:pos="10076"/>
            </w:tabs>
          </w:pPr>
          <w:hyperlink w:anchor="_Toc20291">
            <w:r>
              <w:t>12  Risk Management</w:t>
            </w:r>
            <w:r>
              <w:tab/>
            </w:r>
            <w:r>
              <w:fldChar w:fldCharType="begin"/>
            </w:r>
            <w:r>
              <w:instrText>PAGEREF _Toc20291 \h</w:instrText>
            </w:r>
            <w:r>
              <w:fldChar w:fldCharType="separate"/>
            </w:r>
            <w:r>
              <w:t xml:space="preserve">12 </w:t>
            </w:r>
            <w:r>
              <w:fldChar w:fldCharType="end"/>
            </w:r>
          </w:hyperlink>
        </w:p>
        <w:p w14:paraId="554302BA" w14:textId="77777777" w:rsidR="006824D3" w:rsidRDefault="00000000">
          <w:pPr>
            <w:pStyle w:val="TOC1"/>
            <w:tabs>
              <w:tab w:val="right" w:leader="dot" w:pos="10076"/>
            </w:tabs>
          </w:pPr>
          <w:hyperlink w:anchor="_Toc20292">
            <w:r>
              <w:t>13  Metrics and Reports</w:t>
            </w:r>
            <w:r>
              <w:tab/>
            </w:r>
            <w:r>
              <w:fldChar w:fldCharType="begin"/>
            </w:r>
            <w:r>
              <w:instrText>PAGEREF _Toc20292 \h</w:instrText>
            </w:r>
            <w:r>
              <w:fldChar w:fldCharType="separate"/>
            </w:r>
            <w:r>
              <w:t xml:space="preserve">13 </w:t>
            </w:r>
            <w:r>
              <w:fldChar w:fldCharType="end"/>
            </w:r>
          </w:hyperlink>
        </w:p>
        <w:p w14:paraId="06CC6D32" w14:textId="77777777" w:rsidR="006824D3" w:rsidRDefault="00000000">
          <w:pPr>
            <w:pStyle w:val="TOC1"/>
            <w:tabs>
              <w:tab w:val="right" w:leader="dot" w:pos="10076"/>
            </w:tabs>
          </w:pPr>
          <w:hyperlink w:anchor="_Toc20293">
            <w:r>
              <w:t>14  Confidentiality</w:t>
            </w:r>
            <w:r>
              <w:tab/>
            </w:r>
            <w:r>
              <w:fldChar w:fldCharType="begin"/>
            </w:r>
            <w:r>
              <w:instrText>PAGEREF _Toc20293 \h</w:instrText>
            </w:r>
            <w:r>
              <w:fldChar w:fldCharType="separate"/>
            </w:r>
            <w:r>
              <w:t xml:space="preserve">13 </w:t>
            </w:r>
            <w:r>
              <w:fldChar w:fldCharType="end"/>
            </w:r>
          </w:hyperlink>
        </w:p>
        <w:p w14:paraId="6B85BF8C" w14:textId="77777777" w:rsidR="006824D3" w:rsidRDefault="00000000">
          <w:pPr>
            <w:pStyle w:val="TOC1"/>
            <w:tabs>
              <w:tab w:val="right" w:leader="dot" w:pos="10076"/>
            </w:tabs>
          </w:pPr>
          <w:hyperlink w:anchor="_Toc20294">
            <w:r>
              <w:t>15  Performance and Limitations on Resources</w:t>
            </w:r>
            <w:r>
              <w:tab/>
            </w:r>
            <w:r>
              <w:fldChar w:fldCharType="begin"/>
            </w:r>
            <w:r>
              <w:instrText>PAGEREF _Toc20294 \h</w:instrText>
            </w:r>
            <w:r>
              <w:fldChar w:fldCharType="separate"/>
            </w:r>
            <w:r>
              <w:t xml:space="preserve">14 </w:t>
            </w:r>
            <w:r>
              <w:fldChar w:fldCharType="end"/>
            </w:r>
          </w:hyperlink>
        </w:p>
        <w:p w14:paraId="05125A65" w14:textId="77777777" w:rsidR="006824D3" w:rsidRDefault="00000000">
          <w:pPr>
            <w:pStyle w:val="TOC1"/>
            <w:tabs>
              <w:tab w:val="right" w:leader="dot" w:pos="10076"/>
            </w:tabs>
          </w:pPr>
          <w:hyperlink w:anchor="_Toc20295">
            <w:r>
              <w:t>16  Signatures of Approval and Agreement Date</w:t>
            </w:r>
            <w:r>
              <w:tab/>
            </w:r>
            <w:r>
              <w:fldChar w:fldCharType="begin"/>
            </w:r>
            <w:r>
              <w:instrText>PAGEREF _Toc20295 \h</w:instrText>
            </w:r>
            <w:r>
              <w:fldChar w:fldCharType="separate"/>
            </w:r>
            <w:r>
              <w:t xml:space="preserve">15 </w:t>
            </w:r>
            <w:r>
              <w:fldChar w:fldCharType="end"/>
            </w:r>
          </w:hyperlink>
        </w:p>
        <w:p w14:paraId="2C2283F9" w14:textId="77777777" w:rsidR="006824D3" w:rsidRDefault="00000000">
          <w:pPr>
            <w:pStyle w:val="TOC1"/>
            <w:tabs>
              <w:tab w:val="right" w:leader="dot" w:pos="10076"/>
            </w:tabs>
          </w:pPr>
          <w:hyperlink w:anchor="_Toc20296">
            <w:r>
              <w:t>17  Appendices/Attachments:</w:t>
            </w:r>
            <w:r>
              <w:tab/>
            </w:r>
            <w:r>
              <w:fldChar w:fldCharType="begin"/>
            </w:r>
            <w:r>
              <w:instrText>PAGEREF _Toc20296 \h</w:instrText>
            </w:r>
            <w:r>
              <w:fldChar w:fldCharType="separate"/>
            </w:r>
            <w:r>
              <w:t xml:space="preserve">16 </w:t>
            </w:r>
            <w:r>
              <w:fldChar w:fldCharType="end"/>
            </w:r>
          </w:hyperlink>
        </w:p>
        <w:p w14:paraId="432DB289" w14:textId="77777777" w:rsidR="006824D3" w:rsidRDefault="00000000">
          <w:r>
            <w:fldChar w:fldCharType="end"/>
          </w:r>
        </w:p>
      </w:sdtContent>
    </w:sdt>
    <w:p w14:paraId="4B270BC2" w14:textId="77777777" w:rsidR="006824D3" w:rsidRDefault="00000000">
      <w:pPr>
        <w:spacing w:after="74" w:line="259" w:lineRule="auto"/>
        <w:ind w:left="0" w:firstLine="0"/>
      </w:pPr>
      <w:r>
        <w:t xml:space="preserve"> </w:t>
      </w:r>
    </w:p>
    <w:p w14:paraId="33FAF116" w14:textId="77777777" w:rsidR="006824D3" w:rsidRDefault="00000000">
      <w:pPr>
        <w:spacing w:after="0" w:line="259" w:lineRule="auto"/>
        <w:ind w:left="0" w:firstLine="0"/>
      </w:pPr>
      <w:r>
        <w:rPr>
          <w:rFonts w:ascii="Arial" w:eastAsia="Arial" w:hAnsi="Arial" w:cs="Arial"/>
          <w:sz w:val="22"/>
        </w:rPr>
        <w:t xml:space="preserve"> </w:t>
      </w:r>
      <w:r>
        <w:rPr>
          <w:rFonts w:ascii="Arial" w:eastAsia="Arial" w:hAnsi="Arial" w:cs="Arial"/>
          <w:sz w:val="22"/>
        </w:rPr>
        <w:tab/>
        <w:t xml:space="preserve"> </w:t>
      </w:r>
    </w:p>
    <w:p w14:paraId="3CFFAA24" w14:textId="77777777" w:rsidR="006824D3" w:rsidRDefault="00000000">
      <w:pPr>
        <w:spacing w:after="409" w:line="259" w:lineRule="auto"/>
        <w:ind w:left="0" w:firstLine="0"/>
      </w:pPr>
      <w:r>
        <w:rPr>
          <w:rFonts w:ascii="Arial" w:eastAsia="Arial" w:hAnsi="Arial" w:cs="Arial"/>
          <w:sz w:val="22"/>
        </w:rPr>
        <w:t xml:space="preserve"> </w:t>
      </w:r>
    </w:p>
    <w:p w14:paraId="372EF60E" w14:textId="77777777" w:rsidR="006824D3" w:rsidRDefault="00000000">
      <w:pPr>
        <w:pStyle w:val="Heading1"/>
        <w:ind w:left="706" w:hanging="721"/>
      </w:pPr>
      <w:bookmarkStart w:id="0" w:name="_Toc20280"/>
      <w:r>
        <w:t xml:space="preserve">Objective </w:t>
      </w:r>
      <w:bookmarkEnd w:id="0"/>
    </w:p>
    <w:p w14:paraId="1FA23BCC" w14:textId="77777777" w:rsidR="006824D3" w:rsidRDefault="00000000">
      <w:pPr>
        <w:ind w:left="115" w:right="428"/>
      </w:pPr>
      <w:r>
        <w:t xml:space="preserve">This Service Level Agreement (SLA) describes the IT Service, documents Service Level Targets, and specifies the responsibilities of the both the Department of Information Technology, hereafter referred to as DIT, and the Customer. </w:t>
      </w:r>
    </w:p>
    <w:p w14:paraId="2DDCCA3E" w14:textId="77777777" w:rsidR="006824D3" w:rsidRDefault="00000000">
      <w:pPr>
        <w:spacing w:after="0"/>
        <w:ind w:left="115"/>
      </w:pPr>
      <w:r>
        <w:t xml:space="preserve">The DIT Service Level Agreement includes: </w:t>
      </w:r>
    </w:p>
    <w:p w14:paraId="0A476ACB" w14:textId="77777777" w:rsidR="006824D3" w:rsidRDefault="00000000">
      <w:pPr>
        <w:spacing w:after="15" w:line="259" w:lineRule="auto"/>
        <w:ind w:left="0" w:firstLine="0"/>
      </w:pPr>
      <w:r>
        <w:t xml:space="preserve"> </w:t>
      </w:r>
    </w:p>
    <w:p w14:paraId="70D89F0C" w14:textId="77777777" w:rsidR="006824D3" w:rsidRDefault="00000000">
      <w:pPr>
        <w:numPr>
          <w:ilvl w:val="0"/>
          <w:numId w:val="1"/>
        </w:numPr>
        <w:ind w:right="439" w:hanging="361"/>
      </w:pPr>
      <w:r>
        <w:t xml:space="preserve">The core Service Description </w:t>
      </w:r>
    </w:p>
    <w:p w14:paraId="415A7D21" w14:textId="77777777" w:rsidR="006824D3" w:rsidRDefault="00000000">
      <w:pPr>
        <w:numPr>
          <w:ilvl w:val="0"/>
          <w:numId w:val="1"/>
        </w:numPr>
        <w:ind w:right="439" w:hanging="361"/>
      </w:pPr>
      <w:r>
        <w:t xml:space="preserve">(Optional) Definition(s) of customer-specific Service </w:t>
      </w:r>
      <w:proofErr w:type="gramStart"/>
      <w:r>
        <w:t>Levels;</w:t>
      </w:r>
      <w:proofErr w:type="gramEnd"/>
      <w:r>
        <w:t xml:space="preserve"> such as enhanced levels of support </w:t>
      </w:r>
    </w:p>
    <w:p w14:paraId="477F38E0" w14:textId="77777777" w:rsidR="006824D3" w:rsidRDefault="00000000">
      <w:pPr>
        <w:numPr>
          <w:ilvl w:val="0"/>
          <w:numId w:val="1"/>
        </w:numPr>
        <w:spacing w:after="162" w:line="240" w:lineRule="auto"/>
        <w:ind w:right="439" w:hanging="361"/>
      </w:pPr>
      <w:r>
        <w:t xml:space="preserve">(Optional) Specific Customer Requirements: Any mutually agreed and/or binding customer specific requirements and terms. These may be referenced within the core verbiage of this Service Level Agreement, or, referenced to an accompanying, signed MOU document. </w:t>
      </w:r>
    </w:p>
    <w:p w14:paraId="76B5B3B3" w14:textId="068C75F5" w:rsidR="006824D3" w:rsidRDefault="00000000">
      <w:pPr>
        <w:spacing w:after="242"/>
        <w:ind w:left="115" w:right="930"/>
      </w:pPr>
      <w:r>
        <w:lastRenderedPageBreak/>
        <w:t xml:space="preserve">This Service Level Agreement (SLA) is entered by and between the North Carolina Department of Information Technology (DIT) - Digital Solutions and the </w:t>
      </w:r>
      <w:r w:rsidR="002F7B80">
        <w:t>Resilience and Recovery Office</w:t>
      </w:r>
      <w:r>
        <w:t xml:space="preserve"> effective upon the date of signature by DIT to document the understandings, obligations and agreements of the Parties regarding </w:t>
      </w:r>
      <w:r w:rsidR="002F7B80">
        <w:t xml:space="preserve">Resilience and Recovery Office </w:t>
      </w:r>
      <w:r>
        <w:t xml:space="preserve">“Digital Commons” website services. </w:t>
      </w:r>
    </w:p>
    <w:p w14:paraId="33BBE16D" w14:textId="77777777" w:rsidR="006824D3" w:rsidRDefault="00000000">
      <w:pPr>
        <w:pStyle w:val="Heading2"/>
        <w:ind w:left="560" w:hanging="575"/>
      </w:pPr>
      <w:r>
        <w:t xml:space="preserve">Disclaimer </w:t>
      </w:r>
    </w:p>
    <w:p w14:paraId="49C3CEC4" w14:textId="77777777" w:rsidR="006824D3" w:rsidRDefault="00000000">
      <w:pPr>
        <w:ind w:left="115" w:right="819"/>
      </w:pPr>
      <w:r>
        <w:t xml:space="preserve">As it relates, or might relate, to an individual Service or Customer engagement - if there are content and/or scope deviations between this Service Level document and the core, Global Service Level policy maintained by DIT, this Service SLA takes precedence; with the assumption that it is appropriately signed and has an accompanying MOU or other contractual document. </w:t>
      </w:r>
    </w:p>
    <w:p w14:paraId="77E00992" w14:textId="77777777" w:rsidR="006824D3" w:rsidRDefault="00000000">
      <w:pPr>
        <w:spacing w:after="415"/>
        <w:ind w:left="115" w:right="511"/>
      </w:pPr>
      <w:r>
        <w:t xml:space="preserve">In addition, content or scope specifically contained in an MOU or other contractual document associated with a standard service takes precedence over this document or information contained in the Global Service Level document maintained by DIT, or any detail associated with a Service that is contained in the DIT Service Catalog. </w:t>
      </w:r>
    </w:p>
    <w:p w14:paraId="68DC141B" w14:textId="77777777" w:rsidR="006824D3" w:rsidRDefault="00000000">
      <w:pPr>
        <w:pStyle w:val="Heading1"/>
        <w:spacing w:after="168"/>
        <w:ind w:left="706" w:hanging="721"/>
      </w:pPr>
      <w:bookmarkStart w:id="1" w:name="_Toc20281"/>
      <w:r>
        <w:t xml:space="preserve">Digital Commons Service Description </w:t>
      </w:r>
      <w:bookmarkEnd w:id="1"/>
    </w:p>
    <w:p w14:paraId="5DFC4991" w14:textId="77777777" w:rsidR="006824D3" w:rsidRDefault="00000000">
      <w:pPr>
        <w:pStyle w:val="Heading2"/>
        <w:ind w:left="560" w:hanging="575"/>
      </w:pPr>
      <w:r>
        <w:t xml:space="preserve">About the Digital Commons Platform </w:t>
      </w:r>
    </w:p>
    <w:p w14:paraId="329F1FE3" w14:textId="5595E4A9" w:rsidR="006824D3" w:rsidRDefault="00000000">
      <w:pPr>
        <w:ind w:left="115" w:right="952"/>
      </w:pPr>
      <w:r>
        <w:t>The Digital Commons platform runs on a customized, multi-site version of the Drupal</w:t>
      </w:r>
      <w:r w:rsidR="002F7B80">
        <w:t>-</w:t>
      </w:r>
      <w:r>
        <w:t xml:space="preserve">based Content Management System (CMS). Drupal has wide adoption in the local, state, and federal government space. The platform includes the Open Public distribution which has a suite of modules and functionality such as blog posts, web forms, content workflow, content types and taxonomies, and related capabilities. </w:t>
      </w:r>
    </w:p>
    <w:p w14:paraId="1D9703A2" w14:textId="77777777" w:rsidR="006824D3" w:rsidRDefault="00000000">
      <w:pPr>
        <w:ind w:left="115" w:right="759"/>
      </w:pPr>
      <w:r>
        <w:t xml:space="preserve">The platform is hosted on a FedRAMP compliant instance of Amazon Web Services (AWS). Please see attached technical architecture for details. </w:t>
      </w:r>
    </w:p>
    <w:p w14:paraId="45733239" w14:textId="77777777" w:rsidR="006824D3" w:rsidRDefault="00000000">
      <w:pPr>
        <w:ind w:left="115" w:right="812"/>
      </w:pPr>
      <w:r>
        <w:t xml:space="preserve">As a Drupal multi-site architecture, many technical components such as modules, content types, add-ons, and custom features are shared across the platform. This enables a more efficient, cost-effective model for system administration and feature deployment. Digital Solutions operates in a standardized release schedule and deploys bug fixes, new features, services, and platform capabilities based on agency and user feedback. These changes happen in a formal process (Dev &gt; Staging &gt; Production) in coordination with agency website managers. </w:t>
      </w:r>
    </w:p>
    <w:p w14:paraId="6F5A7C69" w14:textId="77777777" w:rsidR="006824D3" w:rsidRDefault="00000000">
      <w:pPr>
        <w:ind w:left="115" w:right="925"/>
      </w:pPr>
      <w:r>
        <w:t xml:space="preserve">DIT Digital Solutions provides web and digital development and enterprise web content management (CMS) support for state government agencies, divisions, offices, and units. </w:t>
      </w:r>
      <w:r>
        <w:lastRenderedPageBreak/>
        <w:t xml:space="preserve">Digital Commons is the name of our key program and related web content platform. The program strives to create a “21st century digital presence” for the State and its constituencies. </w:t>
      </w:r>
    </w:p>
    <w:p w14:paraId="7D63C1D3" w14:textId="77777777" w:rsidR="006824D3" w:rsidRDefault="00000000">
      <w:pPr>
        <w:spacing w:after="211"/>
        <w:ind w:left="115"/>
      </w:pPr>
      <w:r>
        <w:t xml:space="preserve">Digital Commons program benefits include: </w:t>
      </w:r>
    </w:p>
    <w:p w14:paraId="770FBB41" w14:textId="77777777" w:rsidR="006824D3" w:rsidRDefault="00000000">
      <w:pPr>
        <w:numPr>
          <w:ilvl w:val="0"/>
          <w:numId w:val="2"/>
        </w:numPr>
        <w:ind w:right="217" w:hanging="361"/>
      </w:pPr>
      <w:r>
        <w:t xml:space="preserve">Cost savings from aligning to a consistent design framework and enterprises content </w:t>
      </w:r>
      <w:proofErr w:type="gramStart"/>
      <w:r>
        <w:t>platform</w:t>
      </w:r>
      <w:proofErr w:type="gramEnd"/>
      <w:r>
        <w:t xml:space="preserve"> </w:t>
      </w:r>
    </w:p>
    <w:p w14:paraId="318F9357" w14:textId="77777777" w:rsidR="006824D3" w:rsidRDefault="00000000">
      <w:pPr>
        <w:numPr>
          <w:ilvl w:val="0"/>
          <w:numId w:val="2"/>
        </w:numPr>
        <w:ind w:right="217" w:hanging="361"/>
      </w:pPr>
      <w:r>
        <w:t>Increased efficiency due to ability of non-technical staff to manage digital content without coding or IT- related processes (</w:t>
      </w:r>
      <w:proofErr w:type="gramStart"/>
      <w:r>
        <w:t>i.e.</w:t>
      </w:r>
      <w:proofErr w:type="gramEnd"/>
      <w:r>
        <w:t xml:space="preserve"> FTP file transfer) </w:t>
      </w:r>
    </w:p>
    <w:p w14:paraId="6C144BA4" w14:textId="77777777" w:rsidR="006824D3" w:rsidRDefault="00000000">
      <w:pPr>
        <w:numPr>
          <w:ilvl w:val="0"/>
          <w:numId w:val="2"/>
        </w:numPr>
        <w:ind w:right="217" w:hanging="361"/>
      </w:pPr>
      <w:r>
        <w:t xml:space="preserve">Effective, efficient interactions arising from predictable navigation across </w:t>
      </w:r>
      <w:proofErr w:type="gramStart"/>
      <w:r>
        <w:t>websites</w:t>
      </w:r>
      <w:proofErr w:type="gramEnd"/>
      <w:r>
        <w:t xml:space="preserve"> </w:t>
      </w:r>
    </w:p>
    <w:p w14:paraId="61A6C704" w14:textId="77777777" w:rsidR="006824D3" w:rsidRDefault="00000000">
      <w:pPr>
        <w:numPr>
          <w:ilvl w:val="0"/>
          <w:numId w:val="2"/>
        </w:numPr>
        <w:ind w:right="217" w:hanging="361"/>
      </w:pPr>
      <w:r>
        <w:t xml:space="preserve">Improved ability to find content through search engines, and </w:t>
      </w:r>
      <w:proofErr w:type="gramStart"/>
      <w:r>
        <w:t>end-user oriented</w:t>
      </w:r>
      <w:proofErr w:type="gramEnd"/>
      <w:r>
        <w:t xml:space="preserve"> layout and design </w:t>
      </w:r>
    </w:p>
    <w:p w14:paraId="562DC8C8" w14:textId="77777777" w:rsidR="006824D3" w:rsidRDefault="00000000">
      <w:pPr>
        <w:numPr>
          <w:ilvl w:val="0"/>
          <w:numId w:val="2"/>
        </w:numPr>
        <w:ind w:right="217" w:hanging="361"/>
      </w:pPr>
      <w:r>
        <w:t xml:space="preserve">Uniform adoption of the state brand </w:t>
      </w:r>
    </w:p>
    <w:p w14:paraId="357C82D0" w14:textId="77777777" w:rsidR="006824D3" w:rsidRDefault="00000000">
      <w:pPr>
        <w:numPr>
          <w:ilvl w:val="0"/>
          <w:numId w:val="2"/>
        </w:numPr>
        <w:ind w:right="217" w:hanging="361"/>
      </w:pPr>
      <w:r>
        <w:t xml:space="preserve">Responsive, mobile-first websites optimized for multiple </w:t>
      </w:r>
      <w:proofErr w:type="gramStart"/>
      <w:r>
        <w:t>devices</w:t>
      </w:r>
      <w:proofErr w:type="gramEnd"/>
      <w:r>
        <w:t xml:space="preserve"> </w:t>
      </w:r>
    </w:p>
    <w:p w14:paraId="04B33D75" w14:textId="77777777" w:rsidR="006824D3" w:rsidRDefault="00000000">
      <w:pPr>
        <w:numPr>
          <w:ilvl w:val="0"/>
          <w:numId w:val="2"/>
        </w:numPr>
        <w:spacing w:after="199" w:line="240" w:lineRule="auto"/>
        <w:ind w:right="217" w:hanging="361"/>
      </w:pPr>
      <w:r>
        <w:t xml:space="preserve">The Digital Commons platform is designed to reduce barriers to content for visitors with disabilities by implementing requirements that allow an inclusive, accessible online experience for users with assistive technology. </w:t>
      </w:r>
    </w:p>
    <w:p w14:paraId="6B496773" w14:textId="77777777" w:rsidR="006824D3" w:rsidRDefault="00000000">
      <w:pPr>
        <w:numPr>
          <w:ilvl w:val="0"/>
          <w:numId w:val="2"/>
        </w:numPr>
        <w:ind w:right="217" w:hanging="361"/>
      </w:pPr>
      <w:r>
        <w:t xml:space="preserve">Guidance and training on effective management and governance for State agency websites </w:t>
      </w:r>
    </w:p>
    <w:p w14:paraId="7A129E96" w14:textId="77777777" w:rsidR="006824D3" w:rsidRDefault="00000000">
      <w:pPr>
        <w:pStyle w:val="Heading1"/>
        <w:spacing w:after="168"/>
        <w:ind w:left="706" w:hanging="721"/>
      </w:pPr>
      <w:bookmarkStart w:id="2" w:name="_Toc20282"/>
      <w:r>
        <w:t xml:space="preserve">Vendor Service Levels specific to Digital Commons </w:t>
      </w:r>
      <w:bookmarkEnd w:id="2"/>
    </w:p>
    <w:p w14:paraId="375ACB6A" w14:textId="77777777" w:rsidR="006824D3" w:rsidRDefault="00000000">
      <w:pPr>
        <w:pStyle w:val="Heading2"/>
        <w:spacing w:after="213"/>
        <w:ind w:left="560" w:hanging="575"/>
      </w:pPr>
      <w:r>
        <w:t xml:space="preserve">Amazon Web Services </w:t>
      </w:r>
    </w:p>
    <w:p w14:paraId="313A8324" w14:textId="77777777" w:rsidR="006824D3" w:rsidRDefault="00000000">
      <w:pPr>
        <w:numPr>
          <w:ilvl w:val="0"/>
          <w:numId w:val="3"/>
        </w:numPr>
        <w:ind w:hanging="361"/>
      </w:pPr>
      <w:r>
        <w:t xml:space="preserve">Amazon EC2 Service Level Agreement </w:t>
      </w:r>
    </w:p>
    <w:p w14:paraId="2CC5C98E" w14:textId="77777777" w:rsidR="006824D3" w:rsidRDefault="00000000">
      <w:pPr>
        <w:numPr>
          <w:ilvl w:val="0"/>
          <w:numId w:val="3"/>
        </w:numPr>
        <w:spacing w:after="379"/>
        <w:ind w:hanging="361"/>
      </w:pPr>
      <w:r>
        <w:t xml:space="preserve">Amazon S3 Service Level Agreement </w:t>
      </w:r>
    </w:p>
    <w:p w14:paraId="3AD21F62" w14:textId="77777777" w:rsidR="006824D3" w:rsidRDefault="00000000">
      <w:pPr>
        <w:pStyle w:val="Heading1"/>
        <w:spacing w:after="169"/>
        <w:ind w:left="706" w:hanging="721"/>
      </w:pPr>
      <w:bookmarkStart w:id="3" w:name="_Toc20283"/>
      <w:r>
        <w:t xml:space="preserve">DIT Roles and Responsibilities, Specific to this Service </w:t>
      </w:r>
      <w:bookmarkEnd w:id="3"/>
    </w:p>
    <w:p w14:paraId="2A0AC16E" w14:textId="77777777" w:rsidR="006824D3" w:rsidRDefault="00000000">
      <w:pPr>
        <w:pStyle w:val="Heading2"/>
        <w:spacing w:after="212"/>
        <w:ind w:left="560" w:hanging="575"/>
      </w:pPr>
      <w:r>
        <w:t xml:space="preserve">Environment Management </w:t>
      </w:r>
    </w:p>
    <w:p w14:paraId="79AB4FBB" w14:textId="77777777" w:rsidR="006824D3" w:rsidRDefault="00000000">
      <w:pPr>
        <w:numPr>
          <w:ilvl w:val="0"/>
          <w:numId w:val="4"/>
        </w:numPr>
        <w:ind w:hanging="361"/>
      </w:pPr>
      <w:r>
        <w:t xml:space="preserve">Development </w:t>
      </w:r>
    </w:p>
    <w:p w14:paraId="3C1EB0AB" w14:textId="77777777" w:rsidR="006824D3" w:rsidRDefault="00000000">
      <w:pPr>
        <w:numPr>
          <w:ilvl w:val="0"/>
          <w:numId w:val="4"/>
        </w:numPr>
        <w:ind w:hanging="361"/>
      </w:pPr>
      <w:r>
        <w:t xml:space="preserve">User Acceptance Test (UAT) </w:t>
      </w:r>
    </w:p>
    <w:p w14:paraId="006C7428" w14:textId="77777777" w:rsidR="006824D3" w:rsidRDefault="00000000">
      <w:pPr>
        <w:numPr>
          <w:ilvl w:val="0"/>
          <w:numId w:val="4"/>
        </w:numPr>
        <w:ind w:hanging="361"/>
      </w:pPr>
      <w:r>
        <w:t xml:space="preserve">Staging </w:t>
      </w:r>
    </w:p>
    <w:p w14:paraId="5BB0C273" w14:textId="77777777" w:rsidR="006824D3" w:rsidRDefault="00000000">
      <w:pPr>
        <w:numPr>
          <w:ilvl w:val="0"/>
          <w:numId w:val="4"/>
        </w:numPr>
        <w:spacing w:after="205"/>
        <w:ind w:hanging="361"/>
      </w:pPr>
      <w:r>
        <w:t xml:space="preserve">Production </w:t>
      </w:r>
    </w:p>
    <w:p w14:paraId="27209E28" w14:textId="77777777" w:rsidR="006824D3" w:rsidRDefault="00000000">
      <w:pPr>
        <w:pStyle w:val="Heading2"/>
        <w:spacing w:after="214"/>
        <w:ind w:left="560" w:hanging="575"/>
      </w:pPr>
      <w:r>
        <w:lastRenderedPageBreak/>
        <w:t xml:space="preserve">Data </w:t>
      </w:r>
    </w:p>
    <w:p w14:paraId="29602472" w14:textId="77777777" w:rsidR="006824D3" w:rsidRDefault="00000000">
      <w:pPr>
        <w:numPr>
          <w:ilvl w:val="0"/>
          <w:numId w:val="5"/>
        </w:numPr>
        <w:spacing w:after="1" w:line="409" w:lineRule="auto"/>
        <w:ind w:left="834" w:right="1070" w:hanging="361"/>
      </w:pPr>
      <w:r>
        <w:t xml:space="preserve">Platform Administration </w:t>
      </w:r>
      <w:r>
        <w:rPr>
          <w:rFonts w:ascii="Courier New" w:eastAsia="Courier New" w:hAnsi="Courier New" w:cs="Courier New"/>
        </w:rPr>
        <w:t>o</w:t>
      </w:r>
      <w:r>
        <w:rPr>
          <w:rFonts w:ascii="Arial" w:eastAsia="Arial" w:hAnsi="Arial" w:cs="Arial"/>
        </w:rPr>
        <w:t xml:space="preserve"> </w:t>
      </w:r>
      <w:r>
        <w:t xml:space="preserve">Core Drupal version updates at schedule determined by DIT Digital Solutions </w:t>
      </w:r>
      <w:r>
        <w:rPr>
          <w:rFonts w:ascii="Courier New" w:eastAsia="Courier New" w:hAnsi="Courier New" w:cs="Courier New"/>
        </w:rPr>
        <w:t>o</w:t>
      </w:r>
      <w:r>
        <w:rPr>
          <w:rFonts w:ascii="Arial" w:eastAsia="Arial" w:hAnsi="Arial" w:cs="Arial"/>
        </w:rPr>
        <w:t xml:space="preserve"> </w:t>
      </w:r>
      <w:r>
        <w:t xml:space="preserve">Module updates at a schedule determined by DIT Digital Solutions </w:t>
      </w:r>
      <w:r>
        <w:rPr>
          <w:rFonts w:ascii="Courier New" w:eastAsia="Courier New" w:hAnsi="Courier New" w:cs="Courier New"/>
        </w:rPr>
        <w:t>o</w:t>
      </w:r>
      <w:r>
        <w:rPr>
          <w:rFonts w:ascii="Arial" w:eastAsia="Arial" w:hAnsi="Arial" w:cs="Arial"/>
        </w:rPr>
        <w:t xml:space="preserve"> </w:t>
      </w:r>
      <w:r>
        <w:t xml:space="preserve">Management of shared site themes and </w:t>
      </w:r>
      <w:proofErr w:type="gramStart"/>
      <w:r>
        <w:t>templates</w:t>
      </w:r>
      <w:proofErr w:type="gramEnd"/>
      <w:r>
        <w:t xml:space="preserve"> </w:t>
      </w:r>
    </w:p>
    <w:p w14:paraId="686300EE" w14:textId="77777777" w:rsidR="006824D3" w:rsidRDefault="00000000">
      <w:pPr>
        <w:numPr>
          <w:ilvl w:val="1"/>
          <w:numId w:val="5"/>
        </w:numPr>
        <w:spacing w:after="199" w:line="240" w:lineRule="auto"/>
        <w:ind w:right="538" w:hanging="360"/>
      </w:pPr>
      <w:r>
        <w:t xml:space="preserve">Security patching and site scanning. Note: Security maintenance may happen at any time. DIT will work to provide as much advanced notification as possible to client. </w:t>
      </w:r>
    </w:p>
    <w:p w14:paraId="39278A4C" w14:textId="77777777" w:rsidR="006824D3" w:rsidRDefault="00000000">
      <w:pPr>
        <w:numPr>
          <w:ilvl w:val="1"/>
          <w:numId w:val="5"/>
        </w:numPr>
        <w:ind w:right="538" w:hanging="360"/>
      </w:pPr>
      <w:r>
        <w:t xml:space="preserve">Feature and functionality development. </w:t>
      </w:r>
    </w:p>
    <w:p w14:paraId="3CF1454D" w14:textId="77777777" w:rsidR="006824D3" w:rsidRDefault="00000000">
      <w:pPr>
        <w:numPr>
          <w:ilvl w:val="0"/>
          <w:numId w:val="5"/>
        </w:numPr>
        <w:spacing w:after="0" w:line="240" w:lineRule="auto"/>
        <w:ind w:left="834" w:right="1070" w:hanging="361"/>
      </w:pPr>
      <w:r>
        <w:t xml:space="preserve">Website data (content on website pages) will be backed-up daily and can be retrieved in the event of a catastrophic failure. Please note that the Digital Commons platform is not classified to contain sensitive PII, HIPPA, PCI or IRS 1075 data. </w:t>
      </w:r>
    </w:p>
    <w:p w14:paraId="0EFC5D96" w14:textId="77777777" w:rsidR="006824D3" w:rsidRDefault="00000000">
      <w:pPr>
        <w:spacing w:after="272" w:line="259" w:lineRule="auto"/>
        <w:ind w:left="1561" w:firstLine="0"/>
      </w:pPr>
      <w:r>
        <w:rPr>
          <w:rFonts w:ascii="Arial" w:eastAsia="Arial" w:hAnsi="Arial" w:cs="Arial"/>
          <w:sz w:val="19"/>
        </w:rPr>
        <w:t xml:space="preserve"> </w:t>
      </w:r>
    </w:p>
    <w:p w14:paraId="029F0954" w14:textId="77777777" w:rsidR="006824D3" w:rsidRDefault="00000000">
      <w:pPr>
        <w:pStyle w:val="Heading2"/>
        <w:spacing w:after="213"/>
        <w:ind w:left="560" w:hanging="575"/>
      </w:pPr>
      <w:r>
        <w:t xml:space="preserve">File Management </w:t>
      </w:r>
    </w:p>
    <w:p w14:paraId="2A359A15" w14:textId="77777777" w:rsidR="006824D3" w:rsidRDefault="00000000">
      <w:pPr>
        <w:numPr>
          <w:ilvl w:val="0"/>
          <w:numId w:val="6"/>
        </w:numPr>
        <w:spacing w:after="199" w:line="240" w:lineRule="auto"/>
        <w:ind w:left="834" w:right="602" w:hanging="361"/>
      </w:pPr>
      <w:r>
        <w:t>All Digital Commons website files (</w:t>
      </w:r>
      <w:proofErr w:type="gramStart"/>
      <w:r>
        <w:t>i.e.</w:t>
      </w:r>
      <w:proofErr w:type="gramEnd"/>
      <w:r>
        <w:t xml:space="preserve"> PDFs, .CSV, PPT files) are stored and managed in the Amazon Web Services system.  Digital Commons file storage is intended only for use with website pages and may not be used as an independent and reliable file management service (</w:t>
      </w:r>
      <w:proofErr w:type="gramStart"/>
      <w:r>
        <w:t>i.e.</w:t>
      </w:r>
      <w:proofErr w:type="gramEnd"/>
      <w:r>
        <w:t xml:space="preserve"> </w:t>
      </w:r>
      <w:proofErr w:type="spellStart"/>
      <w:r>
        <w:t>DropBox</w:t>
      </w:r>
      <w:proofErr w:type="spellEnd"/>
      <w:r>
        <w:t xml:space="preserve"> or One Drive) or FTP solution.  Consult your appropriate agency IT personnel for file management support. DIT reserves the right to disable internet access to files not linked to website pages. </w:t>
      </w:r>
    </w:p>
    <w:p w14:paraId="6564E4CE" w14:textId="77777777" w:rsidR="006824D3" w:rsidRDefault="006824D3">
      <w:pPr>
        <w:sectPr w:rsidR="006824D3">
          <w:headerReference w:type="even" r:id="rId7"/>
          <w:headerReference w:type="default" r:id="rId8"/>
          <w:footerReference w:type="even" r:id="rId9"/>
          <w:footerReference w:type="default" r:id="rId10"/>
          <w:headerReference w:type="first" r:id="rId11"/>
          <w:footerReference w:type="first" r:id="rId12"/>
          <w:pgSz w:w="12240" w:h="15840"/>
          <w:pgMar w:top="119" w:right="1084" w:bottom="1196" w:left="1081" w:header="720" w:footer="715" w:gutter="0"/>
          <w:cols w:space="720"/>
        </w:sectPr>
      </w:pPr>
    </w:p>
    <w:p w14:paraId="6AAAA71F" w14:textId="77777777" w:rsidR="006824D3" w:rsidRDefault="00000000" w:rsidP="002F7B80">
      <w:pPr>
        <w:ind w:left="0" w:firstLine="0"/>
      </w:pPr>
      <w:r>
        <w:lastRenderedPageBreak/>
        <w:t xml:space="preserve">DIT may allow or disallow specific file types to mitigate existing or emerging security vulnerabilities.  </w:t>
      </w:r>
    </w:p>
    <w:p w14:paraId="2FDA4CDE" w14:textId="77777777" w:rsidR="006824D3" w:rsidRDefault="00000000">
      <w:pPr>
        <w:numPr>
          <w:ilvl w:val="0"/>
          <w:numId w:val="6"/>
        </w:numPr>
        <w:spacing w:after="210"/>
        <w:ind w:left="834" w:right="602" w:hanging="361"/>
      </w:pPr>
      <w:r>
        <w:t xml:space="preserve">Files (PDFs, Word, etc.) are not backed-up but use S3 file versioning.  An original copy of each file must be managed within the agency on a separate platform. </w:t>
      </w:r>
    </w:p>
    <w:p w14:paraId="64C3BD1C" w14:textId="77777777" w:rsidR="006824D3" w:rsidRDefault="00000000">
      <w:pPr>
        <w:pStyle w:val="Heading2"/>
        <w:ind w:left="560" w:hanging="575"/>
      </w:pPr>
      <w:r>
        <w:t xml:space="preserve">Technical Support </w:t>
      </w:r>
    </w:p>
    <w:p w14:paraId="443ABA8E" w14:textId="77777777" w:rsidR="006824D3" w:rsidRDefault="00000000">
      <w:pPr>
        <w:spacing w:after="242"/>
        <w:ind w:left="115" w:right="508"/>
      </w:pPr>
      <w:r>
        <w:t xml:space="preserve">Bugs and website technical issues will be communicated to DIT in the form of tickets (ServiceNow system) per support terms below. The support model undergoes occasional revision. </w:t>
      </w:r>
    </w:p>
    <w:p w14:paraId="1C13BC32" w14:textId="77777777" w:rsidR="006824D3" w:rsidRDefault="00000000">
      <w:pPr>
        <w:pStyle w:val="Heading2"/>
        <w:ind w:left="560" w:hanging="575"/>
      </w:pPr>
      <w:r>
        <w:t xml:space="preserve">Maintenance Windows </w:t>
      </w:r>
    </w:p>
    <w:p w14:paraId="3C277F24" w14:textId="77777777" w:rsidR="006824D3" w:rsidRDefault="00000000">
      <w:pPr>
        <w:spacing w:after="179" w:line="259" w:lineRule="auto"/>
        <w:ind w:left="0" w:firstLine="0"/>
      </w:pPr>
      <w:r>
        <w:rPr>
          <w:rFonts w:ascii="Arial" w:eastAsia="Arial" w:hAnsi="Arial" w:cs="Arial"/>
        </w:rPr>
        <w:t xml:space="preserve">4.5.1 </w:t>
      </w:r>
      <w:r>
        <w:rPr>
          <w:rFonts w:ascii="Arial" w:eastAsia="Arial" w:hAnsi="Arial" w:cs="Arial"/>
          <w:color w:val="1F4D78"/>
        </w:rPr>
        <w:t>The Digital Commons service maintenance windows include:</w:t>
      </w:r>
      <w:r>
        <w:rPr>
          <w:rFonts w:ascii="Arial" w:eastAsia="Arial" w:hAnsi="Arial" w:cs="Arial"/>
        </w:rPr>
        <w:t xml:space="preserve"> </w:t>
      </w:r>
    </w:p>
    <w:p w14:paraId="52454BAA" w14:textId="77777777" w:rsidR="006824D3" w:rsidRDefault="00000000">
      <w:pPr>
        <w:numPr>
          <w:ilvl w:val="0"/>
          <w:numId w:val="7"/>
        </w:numPr>
        <w:ind w:left="834" w:right="335" w:hanging="361"/>
      </w:pPr>
      <w:r>
        <w:t xml:space="preserve">6:00 p.m. to 12:00 a.m. each Thursday. </w:t>
      </w:r>
    </w:p>
    <w:p w14:paraId="47748C74" w14:textId="77777777" w:rsidR="006824D3" w:rsidRDefault="00000000">
      <w:pPr>
        <w:numPr>
          <w:ilvl w:val="0"/>
          <w:numId w:val="7"/>
        </w:numPr>
        <w:spacing w:after="199" w:line="240" w:lineRule="auto"/>
        <w:ind w:left="834" w:right="335" w:hanging="361"/>
      </w:pPr>
      <w:r>
        <w:t xml:space="preserve">Maintenance includes security patching, feature updates, and related technical updates to the Drupal application and underlying hosting environment. In most instances, maintenance is 10-15 minutes and end-users do not notice a site outage (due to “cached” website content). </w:t>
      </w:r>
    </w:p>
    <w:p w14:paraId="5D3D13DB" w14:textId="77777777" w:rsidR="006824D3" w:rsidRDefault="00000000">
      <w:pPr>
        <w:numPr>
          <w:ilvl w:val="0"/>
          <w:numId w:val="7"/>
        </w:numPr>
        <w:spacing w:after="199" w:line="240" w:lineRule="auto"/>
        <w:ind w:left="834" w:right="335" w:hanging="361"/>
      </w:pPr>
      <w:r>
        <w:t xml:space="preserve">Maintenance is communicated through the DIT Communications Hub (details below in Global SLA information) and the Digital Commons user dashboard. Maintenance typically happens every other Thursday during this window. </w:t>
      </w:r>
    </w:p>
    <w:p w14:paraId="0B2FB0F9" w14:textId="77777777" w:rsidR="006824D3" w:rsidRDefault="00000000">
      <w:pPr>
        <w:numPr>
          <w:ilvl w:val="0"/>
          <w:numId w:val="7"/>
        </w:numPr>
        <w:spacing w:after="210"/>
        <w:ind w:left="834" w:right="335" w:hanging="361"/>
      </w:pPr>
      <w:r>
        <w:t xml:space="preserve">4:00 a.m. to 12:00 p.m. each Sunday - as per standard DIT Global Maintenance Window. </w:t>
      </w:r>
    </w:p>
    <w:p w14:paraId="3FA4EFF6" w14:textId="77777777" w:rsidR="006824D3" w:rsidRDefault="00000000">
      <w:pPr>
        <w:pStyle w:val="Heading2"/>
        <w:ind w:left="560" w:hanging="575"/>
      </w:pPr>
      <w:r>
        <w:t xml:space="preserve">Security </w:t>
      </w:r>
    </w:p>
    <w:p w14:paraId="3596905A" w14:textId="77777777" w:rsidR="006824D3" w:rsidRDefault="00000000">
      <w:pPr>
        <w:ind w:left="115" w:right="250"/>
      </w:pPr>
      <w:r>
        <w:t xml:space="preserve">DIT Digital Solutions works closely with the DIT Security Office to operate in a security aware fashion. For example, regular system vulnerability scanning is conducted through the DIT Security Office. Digital Commons service owners and customers must adhere to the practices and guidelines outlined in the Statewide Security Manual. </w:t>
      </w:r>
      <w:hyperlink r:id="rId13">
        <w:r>
          <w:t>https://it.nc.gov/documents/statewide</w:t>
        </w:r>
      </w:hyperlink>
      <w:hyperlink r:id="rId14">
        <w:r>
          <w:t>-</w:t>
        </w:r>
      </w:hyperlink>
      <w:hyperlink r:id="rId15">
        <w:r>
          <w:t>information</w:t>
        </w:r>
      </w:hyperlink>
      <w:hyperlink r:id="rId16">
        <w:r>
          <w:t>-</w:t>
        </w:r>
      </w:hyperlink>
      <w:hyperlink r:id="rId17">
        <w:r>
          <w:t>security</w:t>
        </w:r>
      </w:hyperlink>
      <w:hyperlink r:id="rId18">
        <w:r>
          <w:t>-</w:t>
        </w:r>
      </w:hyperlink>
      <w:hyperlink r:id="rId19">
        <w:r>
          <w:t>manual</w:t>
        </w:r>
      </w:hyperlink>
      <w:hyperlink r:id="rId20">
        <w:r>
          <w:t xml:space="preserve"> </w:t>
        </w:r>
      </w:hyperlink>
    </w:p>
    <w:p w14:paraId="6C2C9A52" w14:textId="77777777" w:rsidR="006824D3" w:rsidRDefault="00000000">
      <w:pPr>
        <w:spacing w:after="429" w:line="259" w:lineRule="auto"/>
        <w:ind w:left="115" w:firstLine="0"/>
      </w:pPr>
      <w:r>
        <w:t xml:space="preserve"> </w:t>
      </w:r>
    </w:p>
    <w:p w14:paraId="06291C86" w14:textId="77777777" w:rsidR="006824D3" w:rsidRDefault="00000000">
      <w:pPr>
        <w:pStyle w:val="Heading1"/>
        <w:spacing w:after="128"/>
        <w:ind w:left="706" w:hanging="721"/>
      </w:pPr>
      <w:bookmarkStart w:id="4" w:name="_Toc20284"/>
      <w:r>
        <w:lastRenderedPageBreak/>
        <w:t xml:space="preserve">Customer Roles and Responsibilities Specific to the Service </w:t>
      </w:r>
      <w:bookmarkEnd w:id="4"/>
    </w:p>
    <w:p w14:paraId="72380756" w14:textId="77777777" w:rsidR="006824D3" w:rsidRDefault="00000000">
      <w:pPr>
        <w:numPr>
          <w:ilvl w:val="0"/>
          <w:numId w:val="8"/>
        </w:numPr>
        <w:spacing w:after="199" w:line="240" w:lineRule="auto"/>
        <w:ind w:right="512" w:hanging="361"/>
      </w:pPr>
      <w:r>
        <w:t xml:space="preserve">Agency is the website owner and is responsible for the content of the website, including text, images, taxonomy, menus, multi-media, metadata, and related items. </w:t>
      </w:r>
    </w:p>
    <w:p w14:paraId="6A7E5318" w14:textId="77777777" w:rsidR="006824D3" w:rsidRDefault="00000000">
      <w:pPr>
        <w:numPr>
          <w:ilvl w:val="0"/>
          <w:numId w:val="8"/>
        </w:numPr>
        <w:spacing w:after="173" w:line="240" w:lineRule="auto"/>
        <w:ind w:right="512" w:hanging="361"/>
      </w:pPr>
      <w:r>
        <w:t xml:space="preserve">Agency is responsible for ensuring that any third-party integrations, such as a Twitter feed or embedded YouTube video, are secure and do not introduce security vulnerabilities. </w:t>
      </w:r>
    </w:p>
    <w:p w14:paraId="0B46AC71" w14:textId="77777777" w:rsidR="006824D3" w:rsidRDefault="00000000">
      <w:pPr>
        <w:numPr>
          <w:ilvl w:val="0"/>
          <w:numId w:val="8"/>
        </w:numPr>
        <w:ind w:right="512" w:hanging="361"/>
      </w:pPr>
      <w:r>
        <w:t xml:space="preserve">Agency is responsible for site access management, including assigning roles to new users and limiting access when needed (e.g., terminated employee). </w:t>
      </w:r>
    </w:p>
    <w:p w14:paraId="31523408" w14:textId="77777777" w:rsidR="006824D3" w:rsidRDefault="00000000">
      <w:pPr>
        <w:numPr>
          <w:ilvl w:val="0"/>
          <w:numId w:val="8"/>
        </w:numPr>
        <w:spacing w:after="377"/>
        <w:ind w:right="512" w:hanging="361"/>
      </w:pPr>
      <w:r>
        <w:t xml:space="preserve">Agency may not introduce any custom code or separate modules, and will rely on DIT for security updates, version upgrades, and customization. </w:t>
      </w:r>
    </w:p>
    <w:p w14:paraId="39A2ED99" w14:textId="77777777" w:rsidR="006824D3" w:rsidRDefault="00000000">
      <w:pPr>
        <w:pStyle w:val="Heading1"/>
        <w:spacing w:after="125" w:line="240" w:lineRule="auto"/>
        <w:ind w:left="721" w:hanging="721"/>
      </w:pPr>
      <w:bookmarkStart w:id="5" w:name="_Toc20285"/>
      <w:r>
        <w:t xml:space="preserve">Post Implementation requests for changes to the Customer’s Service </w:t>
      </w:r>
      <w:bookmarkEnd w:id="5"/>
    </w:p>
    <w:p w14:paraId="3A81E67E" w14:textId="77777777" w:rsidR="006824D3" w:rsidRDefault="00000000">
      <w:pPr>
        <w:ind w:left="115"/>
      </w:pPr>
      <w:r>
        <w:t xml:space="preserve">The formal Change Management process is detailed further within this Service Level document. Requests for changes to the existing service are detailed as follows: </w:t>
      </w:r>
    </w:p>
    <w:p w14:paraId="2474366F" w14:textId="77777777" w:rsidR="006824D3" w:rsidRDefault="00000000">
      <w:pPr>
        <w:ind w:left="115" w:right="562"/>
      </w:pPr>
      <w:r>
        <w:t>Change requests follow the DIT standard global change procedure for changes that pose risk to the service (</w:t>
      </w:r>
      <w:proofErr w:type="gramStart"/>
      <w:r>
        <w:t>i.e.</w:t>
      </w:r>
      <w:proofErr w:type="gramEnd"/>
      <w:r>
        <w:t xml:space="preserve"> impact other websites running in Drupal) or have interdependencies on other DIT sections, such as DNS changes. These changes will be submitted and will comply with the DIT change management process. </w:t>
      </w:r>
    </w:p>
    <w:p w14:paraId="1958FED1" w14:textId="77777777" w:rsidR="006824D3" w:rsidRDefault="00000000">
      <w:pPr>
        <w:ind w:left="115" w:right="513"/>
      </w:pPr>
      <w:r>
        <w:t xml:space="preserve">Change requests, such as new features or capabilities that affect the Digital Commons Platform will be considered and weighed by the Digital Solutions team to ensure platform existing platform capabilities could not satisfy customer requests without additional development This might include new ways to present content on website pages such as tabs or accordions. Change requests can be communicated in workgroup meetings or directly to the Digital Solutions group through digital@its.nc.gov. These changes will be submitted through the DIT change advisory board (CAB) and may require seven days’ notice or longer for implementation.  </w:t>
      </w:r>
    </w:p>
    <w:p w14:paraId="06345E23" w14:textId="77777777" w:rsidR="006824D3" w:rsidRDefault="00000000">
      <w:pPr>
        <w:ind w:left="115" w:right="565"/>
      </w:pPr>
      <w:r>
        <w:t xml:space="preserve">Customizations to websites made by our customers are discouraged. Either the platform has functionality built-in that will achieve the needed result, or functionality can be built that will meet not only the single customer need, but also benefit the entire platform. </w:t>
      </w:r>
    </w:p>
    <w:p w14:paraId="220C1FC3" w14:textId="34E9798D" w:rsidR="006824D3" w:rsidRDefault="00000000">
      <w:pPr>
        <w:spacing w:after="243"/>
        <w:ind w:left="115" w:right="552"/>
      </w:pPr>
      <w:r>
        <w:t>Agency is responsible for maintaining any code introduced to the platform for the long</w:t>
      </w:r>
      <w:r w:rsidR="002F7B80">
        <w:t>-</w:t>
      </w:r>
      <w:r>
        <w:t xml:space="preserve">term, even as Agency personnel change. To that end, the Website Manager must inform Agency management of these customizations and keep a list of pages that have been altered.  </w:t>
      </w:r>
    </w:p>
    <w:p w14:paraId="462B3469" w14:textId="77777777" w:rsidR="006824D3" w:rsidRDefault="00000000">
      <w:pPr>
        <w:spacing w:after="213" w:line="259" w:lineRule="auto"/>
        <w:ind w:left="-5"/>
      </w:pPr>
      <w:r>
        <w:rPr>
          <w:color w:val="2E74B5"/>
          <w:sz w:val="28"/>
        </w:rPr>
        <w:lastRenderedPageBreak/>
        <w:t>6.1</w:t>
      </w:r>
      <w:r>
        <w:rPr>
          <w:rFonts w:ascii="Arial" w:eastAsia="Arial" w:hAnsi="Arial" w:cs="Arial"/>
          <w:color w:val="2E74B5"/>
          <w:sz w:val="28"/>
        </w:rPr>
        <w:t xml:space="preserve"> </w:t>
      </w:r>
      <w:r>
        <w:rPr>
          <w:color w:val="2E74B5"/>
          <w:sz w:val="28"/>
        </w:rPr>
        <w:t xml:space="preserve">Other requests include: </w:t>
      </w:r>
    </w:p>
    <w:p w14:paraId="02867F4F" w14:textId="77777777" w:rsidR="006824D3" w:rsidRDefault="00000000">
      <w:pPr>
        <w:numPr>
          <w:ilvl w:val="0"/>
          <w:numId w:val="9"/>
        </w:numPr>
        <w:ind w:right="669" w:hanging="361"/>
        <w:jc w:val="both"/>
      </w:pPr>
      <w:r>
        <w:t xml:space="preserve">Creation of new sub-sites (Dev, Staging, and Production site instances) </w:t>
      </w:r>
    </w:p>
    <w:p w14:paraId="7CCEA108" w14:textId="77777777" w:rsidR="006824D3" w:rsidRDefault="00000000">
      <w:pPr>
        <w:numPr>
          <w:ilvl w:val="0"/>
          <w:numId w:val="9"/>
        </w:numPr>
        <w:spacing w:after="199" w:line="240" w:lineRule="auto"/>
        <w:ind w:right="669" w:hanging="361"/>
        <w:jc w:val="both"/>
      </w:pPr>
      <w:r>
        <w:t xml:space="preserve">Addition of new modules, plugins, or add-ons to the Drupal system (i.e., calendars, web forms, social media tools, utilities, interactive functionality, multimedia galleries, and related). </w:t>
      </w:r>
    </w:p>
    <w:p w14:paraId="1E04BDFA" w14:textId="77777777" w:rsidR="006824D3" w:rsidRDefault="00000000">
      <w:pPr>
        <w:spacing w:after="199" w:line="240" w:lineRule="auto"/>
        <w:ind w:left="841" w:right="669" w:firstLine="0"/>
        <w:jc w:val="both"/>
      </w:pPr>
      <w:r>
        <w:t xml:space="preserve">Changes to Drupal admin functionality on back-end or front-end. For example, a request to make the homepage slider cycle automatically—not just on user input would be considered but not necessarily implemented. </w:t>
      </w:r>
    </w:p>
    <w:p w14:paraId="36F8D2FF" w14:textId="77777777" w:rsidR="006824D3" w:rsidRDefault="00000000">
      <w:pPr>
        <w:numPr>
          <w:ilvl w:val="0"/>
          <w:numId w:val="9"/>
        </w:numPr>
        <w:spacing w:after="412" w:line="240" w:lineRule="auto"/>
        <w:ind w:right="669" w:hanging="361"/>
        <w:jc w:val="both"/>
      </w:pPr>
      <w:r>
        <w:t xml:space="preserve">Agency should request a code review from Digital Solutions before publishing an </w:t>
      </w:r>
      <w:proofErr w:type="spellStart"/>
      <w:r>
        <w:t>iframe</w:t>
      </w:r>
      <w:proofErr w:type="spellEnd"/>
      <w:r>
        <w:t xml:space="preserve"> (embedded map, embedded chart, or embedded webform that is not in Drupal) or any other code.  </w:t>
      </w:r>
    </w:p>
    <w:p w14:paraId="02C35CCD" w14:textId="77777777" w:rsidR="006824D3" w:rsidRDefault="00000000">
      <w:pPr>
        <w:pStyle w:val="Heading1"/>
        <w:ind w:left="706" w:hanging="721"/>
      </w:pPr>
      <w:bookmarkStart w:id="6" w:name="_Toc20286"/>
      <w:r>
        <w:t xml:space="preserve">Standard Global Service Levels </w:t>
      </w:r>
      <w:bookmarkEnd w:id="6"/>
    </w:p>
    <w:p w14:paraId="1BCBE7FC" w14:textId="77777777" w:rsidR="006824D3" w:rsidRDefault="00000000">
      <w:pPr>
        <w:spacing w:after="242"/>
        <w:ind w:left="115"/>
      </w:pPr>
      <w:r>
        <w:t xml:space="preserve">Standard, General and Operational areas of support (such as Incident and Change Management) applicable to every DIT service unless specifically detailed in the Service Details, are listed within this document section. </w:t>
      </w:r>
    </w:p>
    <w:p w14:paraId="788F7B46" w14:textId="77777777" w:rsidR="006824D3" w:rsidRDefault="00000000">
      <w:pPr>
        <w:pStyle w:val="Heading2"/>
        <w:ind w:left="560" w:hanging="575"/>
      </w:pPr>
      <w:r>
        <w:t xml:space="preserve">Service Support </w:t>
      </w:r>
    </w:p>
    <w:p w14:paraId="33791D46" w14:textId="77777777" w:rsidR="006824D3" w:rsidRDefault="00000000">
      <w:pPr>
        <w:spacing w:after="243"/>
        <w:ind w:left="115" w:right="556"/>
      </w:pPr>
      <w:r>
        <w:t xml:space="preserve">The DIT Service Desk operates 24 x 7 and offers a single point of contact for all customer inquiries related to services for the State of North Carolina's business and technical infrastructures. The Service Desk agents provide business and technical infrastructure analysis, problem solving, and first and second level diagnostics. </w:t>
      </w:r>
    </w:p>
    <w:p w14:paraId="4864CF2F" w14:textId="77777777" w:rsidR="006824D3" w:rsidRDefault="00000000">
      <w:pPr>
        <w:pStyle w:val="Heading2"/>
        <w:ind w:left="560" w:hanging="575"/>
      </w:pPr>
      <w:r>
        <w:t xml:space="preserve">Hours of Operation </w:t>
      </w:r>
    </w:p>
    <w:p w14:paraId="5E6D2639" w14:textId="77777777" w:rsidR="006824D3" w:rsidRDefault="00000000">
      <w:pPr>
        <w:ind w:left="115" w:right="493"/>
      </w:pPr>
      <w:r>
        <w:t xml:space="preserve">DIT Services are available 24 x 7, excluding planned outage maintenance windows and unavoidable events. Maintenance windows are used only when needed for planned changes that have gone through the DIT Change Management Process. In addition to the Standard Maintenance Windows, site-specific changes may be coordinated with customers at non-standard times. </w:t>
      </w:r>
    </w:p>
    <w:p w14:paraId="1C6044FB" w14:textId="77777777" w:rsidR="006824D3" w:rsidRDefault="00000000">
      <w:pPr>
        <w:spacing w:after="211"/>
        <w:ind w:left="115"/>
      </w:pPr>
      <w:r>
        <w:t xml:space="preserve">DIT Standard maintenance windows include: </w:t>
      </w:r>
    </w:p>
    <w:p w14:paraId="344316B8" w14:textId="77777777" w:rsidR="006824D3" w:rsidRDefault="00000000">
      <w:pPr>
        <w:numPr>
          <w:ilvl w:val="0"/>
          <w:numId w:val="10"/>
        </w:numPr>
        <w:ind w:left="839" w:hanging="361"/>
      </w:pPr>
      <w:r>
        <w:t xml:space="preserve">4:00 a.m. to 7:00 a.m. each Thursday </w:t>
      </w:r>
    </w:p>
    <w:p w14:paraId="0CCB59E7" w14:textId="77777777" w:rsidR="006824D3" w:rsidRDefault="00000000">
      <w:pPr>
        <w:numPr>
          <w:ilvl w:val="0"/>
          <w:numId w:val="10"/>
        </w:numPr>
        <w:spacing w:after="124"/>
        <w:ind w:left="839" w:hanging="361"/>
      </w:pPr>
      <w:r>
        <w:t xml:space="preserve">4:00 a.m. to 12:00 p.m. each Sunday </w:t>
      </w:r>
    </w:p>
    <w:p w14:paraId="7044AA36" w14:textId="77777777" w:rsidR="006824D3" w:rsidRDefault="00000000">
      <w:pPr>
        <w:ind w:left="115" w:right="411"/>
      </w:pPr>
      <w:r>
        <w:lastRenderedPageBreak/>
        <w:t xml:space="preserve">Any service maintenance windows outside of these standard windows are documented in the service specific SLA section. </w:t>
      </w:r>
    </w:p>
    <w:p w14:paraId="1542DBC5" w14:textId="77777777" w:rsidR="006824D3" w:rsidRDefault="00000000">
      <w:pPr>
        <w:spacing w:after="235" w:line="276" w:lineRule="auto"/>
        <w:ind w:left="115" w:right="292" w:firstLine="0"/>
      </w:pPr>
      <w:r>
        <w:rPr>
          <w:u w:val="single" w:color="000000"/>
        </w:rPr>
        <w:t>Note: Digital Commons Services do have non-standard Change and Maintenance</w:t>
      </w:r>
      <w:r>
        <w:t xml:space="preserve"> </w:t>
      </w:r>
      <w:r>
        <w:rPr>
          <w:u w:val="single" w:color="000000"/>
        </w:rPr>
        <w:t>windows. Standard maintenance windows are included in this section for reference to</w:t>
      </w:r>
      <w:r>
        <w:t xml:space="preserve"> </w:t>
      </w:r>
      <w:r>
        <w:rPr>
          <w:u w:val="single" w:color="000000"/>
        </w:rPr>
        <w:t>other Services.</w:t>
      </w:r>
      <w:r>
        <w:t xml:space="preserve"> </w:t>
      </w:r>
    </w:p>
    <w:p w14:paraId="40F5DBAC" w14:textId="77777777" w:rsidR="006824D3" w:rsidRDefault="00000000">
      <w:pPr>
        <w:pStyle w:val="Heading2"/>
        <w:ind w:left="560" w:hanging="575"/>
      </w:pPr>
      <w:r>
        <w:t xml:space="preserve">Contacting Support and Ticket Escalation </w:t>
      </w:r>
    </w:p>
    <w:p w14:paraId="32F93DC9" w14:textId="77777777" w:rsidR="006824D3" w:rsidRDefault="00000000">
      <w:pPr>
        <w:spacing w:after="14"/>
        <w:ind w:left="115"/>
      </w:pPr>
      <w:r>
        <w:t xml:space="preserve">The DIT Service Desk is the single point of contact for initiating all Incidents and Service </w:t>
      </w:r>
    </w:p>
    <w:p w14:paraId="1EC41BDE" w14:textId="77777777" w:rsidR="006824D3" w:rsidRDefault="00000000">
      <w:pPr>
        <w:spacing w:after="9"/>
        <w:ind w:left="115"/>
      </w:pPr>
      <w:r>
        <w:t xml:space="preserve">Requests, including requests for ticket escalation. Customers may contact the </w:t>
      </w:r>
      <w:proofErr w:type="gramStart"/>
      <w:r>
        <w:t>DIT</w:t>
      </w:r>
      <w:proofErr w:type="gramEnd"/>
      <w:r>
        <w:t xml:space="preserve"> </w:t>
      </w:r>
    </w:p>
    <w:p w14:paraId="646DD0F0" w14:textId="77777777" w:rsidR="006824D3" w:rsidRDefault="00000000">
      <w:pPr>
        <w:ind w:left="115"/>
      </w:pPr>
      <w:r>
        <w:t xml:space="preserve">Service Desk at </w:t>
      </w:r>
    </w:p>
    <w:p w14:paraId="63F5775A" w14:textId="77777777" w:rsidR="006824D3" w:rsidRDefault="006824D3">
      <w:pPr>
        <w:sectPr w:rsidR="006824D3">
          <w:headerReference w:type="even" r:id="rId21"/>
          <w:headerReference w:type="default" r:id="rId22"/>
          <w:footerReference w:type="even" r:id="rId23"/>
          <w:footerReference w:type="default" r:id="rId24"/>
          <w:headerReference w:type="first" r:id="rId25"/>
          <w:footerReference w:type="first" r:id="rId26"/>
          <w:pgSz w:w="12240" w:h="15840"/>
          <w:pgMar w:top="1126" w:right="1475" w:bottom="1266" w:left="1081" w:header="720" w:footer="715" w:gutter="0"/>
          <w:cols w:space="720"/>
        </w:sectPr>
      </w:pPr>
    </w:p>
    <w:p w14:paraId="5AF0B4AD" w14:textId="77777777" w:rsidR="006824D3" w:rsidRDefault="00000000">
      <w:pPr>
        <w:ind w:left="851"/>
      </w:pPr>
      <w:r>
        <w:lastRenderedPageBreak/>
        <w:t xml:space="preserve">919-754-6000 </w:t>
      </w:r>
    </w:p>
    <w:p w14:paraId="5F5029C9" w14:textId="77777777" w:rsidR="006824D3" w:rsidRDefault="00000000">
      <w:pPr>
        <w:numPr>
          <w:ilvl w:val="0"/>
          <w:numId w:val="11"/>
        </w:numPr>
        <w:ind w:left="839" w:hanging="361"/>
      </w:pPr>
      <w:r>
        <w:t xml:space="preserve">Toll Free at 1-800-722-3946, or, </w:t>
      </w:r>
    </w:p>
    <w:p w14:paraId="215FF52A" w14:textId="77777777" w:rsidR="006824D3" w:rsidRDefault="00000000">
      <w:pPr>
        <w:numPr>
          <w:ilvl w:val="0"/>
          <w:numId w:val="11"/>
        </w:numPr>
        <w:spacing w:after="124"/>
        <w:ind w:left="839" w:hanging="361"/>
      </w:pPr>
      <w:r>
        <w:t xml:space="preserve">ServiceNow at https://ncgov.servicenowservices.com/sp_dit </w:t>
      </w:r>
    </w:p>
    <w:p w14:paraId="794D0A5F" w14:textId="77777777" w:rsidR="006824D3" w:rsidRDefault="00000000">
      <w:pPr>
        <w:spacing w:after="421"/>
        <w:ind w:left="115"/>
      </w:pPr>
      <w:r>
        <w:t xml:space="preserve">The Business and Relationship Management (BRM) Leader assigned to your agency is available to address any questions regarding DIT services, </w:t>
      </w:r>
      <w:proofErr w:type="gramStart"/>
      <w:r>
        <w:t>processes</w:t>
      </w:r>
      <w:proofErr w:type="gramEnd"/>
      <w:r>
        <w:t xml:space="preserve"> or technology business needs. You may contact your Business and Relationship Management Leader directly or initiate a Service Request with the DIT Service Desk. </w:t>
      </w:r>
    </w:p>
    <w:p w14:paraId="1B93CE9B" w14:textId="77777777" w:rsidR="006824D3" w:rsidRDefault="00000000">
      <w:pPr>
        <w:pStyle w:val="Heading1"/>
        <w:spacing w:after="163"/>
        <w:ind w:left="706" w:hanging="721"/>
      </w:pPr>
      <w:bookmarkStart w:id="7" w:name="_Toc20287"/>
      <w:r>
        <w:t xml:space="preserve">Incidents and Service Requests </w:t>
      </w:r>
      <w:bookmarkEnd w:id="7"/>
    </w:p>
    <w:p w14:paraId="1069DFF6" w14:textId="77777777" w:rsidR="006824D3" w:rsidRDefault="00000000">
      <w:pPr>
        <w:pStyle w:val="Heading2"/>
        <w:ind w:left="560" w:hanging="575"/>
      </w:pPr>
      <w:r>
        <w:t xml:space="preserve">Ticket Creation </w:t>
      </w:r>
    </w:p>
    <w:p w14:paraId="48C19711" w14:textId="77777777" w:rsidR="006824D3" w:rsidRDefault="00000000">
      <w:pPr>
        <w:ind w:left="115"/>
      </w:pPr>
      <w:r>
        <w:t xml:space="preserve">Two types of tickets may be created by contacting the DIT Service Desk.  </w:t>
      </w:r>
    </w:p>
    <w:p w14:paraId="45CD3194" w14:textId="77777777" w:rsidR="006824D3" w:rsidRDefault="00000000">
      <w:pPr>
        <w:tabs>
          <w:tab w:val="center" w:pos="4435"/>
        </w:tabs>
        <w:spacing w:after="190"/>
        <w:ind w:left="0" w:firstLine="0"/>
      </w:pPr>
      <w:r>
        <w:t xml:space="preserve">Incident: </w:t>
      </w:r>
      <w:r>
        <w:tab/>
        <w:t xml:space="preserve">An Incident is any disruption of service. </w:t>
      </w:r>
    </w:p>
    <w:p w14:paraId="6BF3E2C4" w14:textId="77777777" w:rsidR="006824D3" w:rsidRDefault="00000000">
      <w:pPr>
        <w:ind w:left="2421" w:hanging="2316"/>
      </w:pPr>
      <w:r>
        <w:t xml:space="preserve">Service Request: </w:t>
      </w:r>
      <w:r>
        <w:tab/>
        <w:t xml:space="preserve">A request for information or a request for a new service or to change an existing service. Customers may open an Incident or a Service Request ticket by calling or initiating an email to the DIT Service Desk. </w:t>
      </w:r>
    </w:p>
    <w:p w14:paraId="064F578B" w14:textId="77777777" w:rsidR="006824D3" w:rsidRDefault="00000000">
      <w:pPr>
        <w:ind w:left="115"/>
      </w:pPr>
      <w:r>
        <w:t xml:space="preserve">It is important to note that tickets received via email are categorized as a low priority. Therefore, any critical or high Incident or Service Request should be initiated by calling the DIT Service Desk. If a critical or high Incident or Service Request is initiated by email, it must be followed up with a telephone call to the Service Desk to ensure proper prioritization. Failure to call may result in a low priority ticket. When sending an email, summarize the nature of the Incident or Service Request in the Subject field. </w:t>
      </w:r>
    </w:p>
    <w:p w14:paraId="2CDE16FC" w14:textId="77777777" w:rsidR="006824D3" w:rsidRDefault="00000000">
      <w:pPr>
        <w:spacing w:after="243"/>
        <w:ind w:left="115"/>
      </w:pPr>
      <w:r>
        <w:t xml:space="preserve">The customer will automatically be emailed a Receipt Confirmation with the ticket or reference number. This confirmation notes that the Incident or Service Request has been logged at the DIT Service Desk and that it is being assigned to a work group. Customers are responsible for ensuring their email address is provided to the DIT Service Desk for update and resolution notification purposes. </w:t>
      </w:r>
    </w:p>
    <w:p w14:paraId="5F2490D2" w14:textId="77777777" w:rsidR="006824D3" w:rsidRDefault="00000000">
      <w:pPr>
        <w:pStyle w:val="Heading2"/>
        <w:ind w:left="560" w:hanging="575"/>
      </w:pPr>
      <w:r>
        <w:lastRenderedPageBreak/>
        <w:t xml:space="preserve">Ticket Prioritization </w:t>
      </w:r>
    </w:p>
    <w:p w14:paraId="18D4A8E0" w14:textId="77777777" w:rsidR="006824D3" w:rsidRDefault="00000000">
      <w:pPr>
        <w:ind w:left="115"/>
      </w:pPr>
      <w:r>
        <w:t xml:space="preserve">The DIT Service Desk assigns a Priority to every initiated Incident or Service Request. The Prioritization Model is used to ensure a consistent approach to define the sequence for a ticket to be handled and to drive the assignment of resources. </w:t>
      </w:r>
    </w:p>
    <w:p w14:paraId="315F5206" w14:textId="77777777" w:rsidR="006824D3" w:rsidRDefault="00000000">
      <w:pPr>
        <w:spacing w:after="206"/>
        <w:ind w:left="115"/>
      </w:pPr>
      <w:r>
        <w:t xml:space="preserve">The Priority assigned to a ticket depends upon: </w:t>
      </w:r>
    </w:p>
    <w:p w14:paraId="30DA6FF2" w14:textId="77777777" w:rsidR="006824D3" w:rsidRDefault="00000000">
      <w:pPr>
        <w:ind w:left="490"/>
      </w:pPr>
      <w:r>
        <w:t>•</w:t>
      </w:r>
      <w:r>
        <w:rPr>
          <w:rFonts w:ascii="Arial" w:eastAsia="Arial" w:hAnsi="Arial" w:cs="Arial"/>
        </w:rPr>
        <w:t xml:space="preserve"> </w:t>
      </w:r>
      <w:r>
        <w:t xml:space="preserve">The Impact on the business: size, </w:t>
      </w:r>
      <w:proofErr w:type="gramStart"/>
      <w:r>
        <w:t>scope</w:t>
      </w:r>
      <w:proofErr w:type="gramEnd"/>
      <w:r>
        <w:t xml:space="preserve"> and complexity of the Incident </w:t>
      </w:r>
    </w:p>
    <w:p w14:paraId="4705607E" w14:textId="77777777" w:rsidR="006824D3" w:rsidRDefault="00000000">
      <w:pPr>
        <w:spacing w:after="212"/>
        <w:ind w:left="851"/>
      </w:pPr>
      <w:r>
        <w:t xml:space="preserve">The Urgency to the business: time within which resolution is </w:t>
      </w:r>
      <w:proofErr w:type="gramStart"/>
      <w:r>
        <w:t>required</w:t>
      </w:r>
      <w:proofErr w:type="gramEnd"/>
      <w:r>
        <w:t xml:space="preserve"> </w:t>
      </w:r>
    </w:p>
    <w:p w14:paraId="3453A9DA" w14:textId="77777777" w:rsidR="006824D3" w:rsidRDefault="00000000">
      <w:pPr>
        <w:pStyle w:val="Heading2"/>
        <w:ind w:left="560" w:hanging="575"/>
      </w:pPr>
      <w:r>
        <w:t xml:space="preserve">Incident Ticket Target Resolution Times </w:t>
      </w:r>
    </w:p>
    <w:p w14:paraId="08A7CF24" w14:textId="77777777" w:rsidR="006824D3" w:rsidRDefault="00000000">
      <w:pPr>
        <w:ind w:left="115"/>
      </w:pPr>
      <w:r>
        <w:t xml:space="preserve">The Incident Target Resolution Time is the total time from ticket creation to Incident resolution (restoration of service to the user). Service may be restored either through a workaround or a permanent solution. DIT is committed to resolve ninety percent (90%) of Incidents within the time frame specified for each Priority as part of the standard, Global Service Levels. </w:t>
      </w:r>
    </w:p>
    <w:p w14:paraId="28C23B5F" w14:textId="77777777" w:rsidR="006824D3" w:rsidRDefault="00000000">
      <w:pPr>
        <w:spacing w:after="0"/>
        <w:ind w:left="115"/>
      </w:pPr>
      <w:r>
        <w:t xml:space="preserve">The following chart shows the target resolution times by Priority after the initial assessment/assignment of an Incident by the Service Desk. Resolution times are measured in clock hours and/or minutes unless otherwise specified. </w:t>
      </w:r>
    </w:p>
    <w:tbl>
      <w:tblPr>
        <w:tblStyle w:val="TableGrid"/>
        <w:tblW w:w="8729" w:type="dxa"/>
        <w:tblInd w:w="183" w:type="dxa"/>
        <w:tblCellMar>
          <w:top w:w="62" w:type="dxa"/>
          <w:left w:w="108" w:type="dxa"/>
          <w:right w:w="115" w:type="dxa"/>
        </w:tblCellMar>
        <w:tblLook w:val="04A0" w:firstRow="1" w:lastRow="0" w:firstColumn="1" w:lastColumn="0" w:noHBand="0" w:noVBand="1"/>
      </w:tblPr>
      <w:tblGrid>
        <w:gridCol w:w="3319"/>
        <w:gridCol w:w="5410"/>
      </w:tblGrid>
      <w:tr w:rsidR="006824D3" w14:paraId="12A5F994" w14:textId="77777777">
        <w:trPr>
          <w:trHeight w:val="420"/>
        </w:trPr>
        <w:tc>
          <w:tcPr>
            <w:tcW w:w="3319" w:type="dxa"/>
            <w:tcBorders>
              <w:top w:val="single" w:sz="8" w:space="0" w:color="000000"/>
              <w:left w:val="single" w:sz="8" w:space="0" w:color="000000"/>
              <w:bottom w:val="single" w:sz="8" w:space="0" w:color="000000"/>
              <w:right w:val="single" w:sz="8" w:space="0" w:color="000000"/>
            </w:tcBorders>
            <w:shd w:val="clear" w:color="auto" w:fill="2E74B5"/>
          </w:tcPr>
          <w:p w14:paraId="3E6C7431" w14:textId="77777777" w:rsidR="006824D3" w:rsidRDefault="00000000">
            <w:pPr>
              <w:spacing w:after="0" w:line="259" w:lineRule="auto"/>
              <w:ind w:left="0" w:firstLine="0"/>
            </w:pPr>
            <w:r>
              <w:rPr>
                <w:color w:val="FFFFFF"/>
              </w:rPr>
              <w:t>Incident Priority</w:t>
            </w:r>
            <w:r>
              <w:t xml:space="preserve"> </w:t>
            </w:r>
          </w:p>
        </w:tc>
        <w:tc>
          <w:tcPr>
            <w:tcW w:w="5409" w:type="dxa"/>
            <w:tcBorders>
              <w:top w:val="single" w:sz="8" w:space="0" w:color="000000"/>
              <w:left w:val="single" w:sz="8" w:space="0" w:color="000000"/>
              <w:bottom w:val="single" w:sz="8" w:space="0" w:color="000000"/>
              <w:right w:val="single" w:sz="8" w:space="0" w:color="000000"/>
            </w:tcBorders>
            <w:shd w:val="clear" w:color="auto" w:fill="2E74B5"/>
          </w:tcPr>
          <w:p w14:paraId="61B25CFB" w14:textId="77777777" w:rsidR="006824D3" w:rsidRDefault="00000000">
            <w:pPr>
              <w:spacing w:after="0" w:line="259" w:lineRule="auto"/>
              <w:ind w:left="7" w:firstLine="0"/>
            </w:pPr>
            <w:r>
              <w:rPr>
                <w:color w:val="FFFFFF"/>
              </w:rPr>
              <w:t>Target Resolution Time</w:t>
            </w:r>
            <w:r>
              <w:t xml:space="preserve"> </w:t>
            </w:r>
          </w:p>
        </w:tc>
      </w:tr>
      <w:tr w:rsidR="006824D3" w14:paraId="1373A7C1" w14:textId="77777777">
        <w:trPr>
          <w:trHeight w:val="433"/>
        </w:trPr>
        <w:tc>
          <w:tcPr>
            <w:tcW w:w="3319" w:type="dxa"/>
            <w:tcBorders>
              <w:top w:val="single" w:sz="8" w:space="0" w:color="000000"/>
              <w:left w:val="single" w:sz="8" w:space="0" w:color="000000"/>
              <w:bottom w:val="single" w:sz="8" w:space="0" w:color="000000"/>
              <w:right w:val="single" w:sz="8" w:space="0" w:color="000000"/>
            </w:tcBorders>
          </w:tcPr>
          <w:p w14:paraId="046467EE" w14:textId="77777777" w:rsidR="006824D3" w:rsidRDefault="00000000">
            <w:pPr>
              <w:spacing w:after="0" w:line="259" w:lineRule="auto"/>
              <w:ind w:left="5" w:firstLine="0"/>
            </w:pPr>
            <w:r>
              <w:t xml:space="preserve">Critical </w:t>
            </w:r>
          </w:p>
        </w:tc>
        <w:tc>
          <w:tcPr>
            <w:tcW w:w="5409" w:type="dxa"/>
            <w:tcBorders>
              <w:top w:val="single" w:sz="8" w:space="0" w:color="000000"/>
              <w:left w:val="single" w:sz="8" w:space="0" w:color="000000"/>
              <w:bottom w:val="single" w:sz="8" w:space="0" w:color="000000"/>
              <w:right w:val="single" w:sz="8" w:space="0" w:color="000000"/>
            </w:tcBorders>
          </w:tcPr>
          <w:p w14:paraId="1AF3BBAD" w14:textId="77777777" w:rsidR="006824D3" w:rsidRDefault="00000000">
            <w:pPr>
              <w:spacing w:after="0" w:line="259" w:lineRule="auto"/>
              <w:ind w:left="7" w:firstLine="0"/>
            </w:pPr>
            <w:r>
              <w:t xml:space="preserve">4 hours or less </w:t>
            </w:r>
          </w:p>
        </w:tc>
      </w:tr>
      <w:tr w:rsidR="006824D3" w14:paraId="37FF0253" w14:textId="77777777">
        <w:trPr>
          <w:trHeight w:val="425"/>
        </w:trPr>
        <w:tc>
          <w:tcPr>
            <w:tcW w:w="3319" w:type="dxa"/>
            <w:tcBorders>
              <w:top w:val="single" w:sz="8" w:space="0" w:color="000000"/>
              <w:left w:val="single" w:sz="8" w:space="0" w:color="000000"/>
              <w:bottom w:val="single" w:sz="8" w:space="0" w:color="000000"/>
              <w:right w:val="single" w:sz="8" w:space="0" w:color="000000"/>
            </w:tcBorders>
          </w:tcPr>
          <w:p w14:paraId="56F74AAA" w14:textId="77777777" w:rsidR="006824D3" w:rsidRDefault="00000000">
            <w:pPr>
              <w:spacing w:after="0" w:line="259" w:lineRule="auto"/>
              <w:ind w:left="5" w:firstLine="0"/>
            </w:pPr>
            <w:r>
              <w:t xml:space="preserve">High </w:t>
            </w:r>
          </w:p>
        </w:tc>
        <w:tc>
          <w:tcPr>
            <w:tcW w:w="5409" w:type="dxa"/>
            <w:tcBorders>
              <w:top w:val="single" w:sz="8" w:space="0" w:color="000000"/>
              <w:left w:val="single" w:sz="8" w:space="0" w:color="000000"/>
              <w:bottom w:val="single" w:sz="8" w:space="0" w:color="000000"/>
              <w:right w:val="single" w:sz="8" w:space="0" w:color="000000"/>
            </w:tcBorders>
          </w:tcPr>
          <w:p w14:paraId="67F83465" w14:textId="77777777" w:rsidR="006824D3" w:rsidRDefault="00000000">
            <w:pPr>
              <w:spacing w:after="0" w:line="259" w:lineRule="auto"/>
              <w:ind w:left="7" w:firstLine="0"/>
            </w:pPr>
            <w:r>
              <w:t xml:space="preserve">8 hours or less </w:t>
            </w:r>
          </w:p>
        </w:tc>
      </w:tr>
      <w:tr w:rsidR="006824D3" w14:paraId="4D1B29B4" w14:textId="77777777">
        <w:trPr>
          <w:trHeight w:val="430"/>
        </w:trPr>
        <w:tc>
          <w:tcPr>
            <w:tcW w:w="3319" w:type="dxa"/>
            <w:tcBorders>
              <w:top w:val="single" w:sz="8" w:space="0" w:color="000000"/>
              <w:left w:val="single" w:sz="8" w:space="0" w:color="000000"/>
              <w:bottom w:val="single" w:sz="8" w:space="0" w:color="000000"/>
              <w:right w:val="single" w:sz="8" w:space="0" w:color="000000"/>
            </w:tcBorders>
          </w:tcPr>
          <w:p w14:paraId="4D08F8C0" w14:textId="77777777" w:rsidR="006824D3" w:rsidRDefault="00000000">
            <w:pPr>
              <w:spacing w:after="0" w:line="259" w:lineRule="auto"/>
              <w:ind w:left="5" w:firstLine="0"/>
            </w:pPr>
            <w:r>
              <w:t xml:space="preserve">Medium </w:t>
            </w:r>
          </w:p>
        </w:tc>
        <w:tc>
          <w:tcPr>
            <w:tcW w:w="5409" w:type="dxa"/>
            <w:tcBorders>
              <w:top w:val="single" w:sz="8" w:space="0" w:color="000000"/>
              <w:left w:val="single" w:sz="8" w:space="0" w:color="000000"/>
              <w:bottom w:val="single" w:sz="8" w:space="0" w:color="000000"/>
              <w:right w:val="single" w:sz="8" w:space="0" w:color="000000"/>
            </w:tcBorders>
          </w:tcPr>
          <w:p w14:paraId="6C3BCC57" w14:textId="77777777" w:rsidR="006824D3" w:rsidRDefault="00000000">
            <w:pPr>
              <w:spacing w:after="0" w:line="259" w:lineRule="auto"/>
              <w:ind w:left="7" w:firstLine="0"/>
            </w:pPr>
            <w:r>
              <w:t xml:space="preserve">24 hours or less </w:t>
            </w:r>
          </w:p>
        </w:tc>
      </w:tr>
      <w:tr w:rsidR="006824D3" w14:paraId="04A26515" w14:textId="77777777">
        <w:trPr>
          <w:trHeight w:val="430"/>
        </w:trPr>
        <w:tc>
          <w:tcPr>
            <w:tcW w:w="3319" w:type="dxa"/>
            <w:tcBorders>
              <w:top w:val="single" w:sz="8" w:space="0" w:color="000000"/>
              <w:left w:val="single" w:sz="8" w:space="0" w:color="000000"/>
              <w:bottom w:val="single" w:sz="8" w:space="0" w:color="000000"/>
              <w:right w:val="single" w:sz="8" w:space="0" w:color="000000"/>
            </w:tcBorders>
          </w:tcPr>
          <w:p w14:paraId="261BC139" w14:textId="77777777" w:rsidR="006824D3" w:rsidRDefault="00000000">
            <w:pPr>
              <w:spacing w:after="0" w:line="259" w:lineRule="auto"/>
              <w:ind w:left="5" w:firstLine="0"/>
            </w:pPr>
            <w:r>
              <w:t xml:space="preserve">Low </w:t>
            </w:r>
          </w:p>
        </w:tc>
        <w:tc>
          <w:tcPr>
            <w:tcW w:w="5409" w:type="dxa"/>
            <w:tcBorders>
              <w:top w:val="single" w:sz="8" w:space="0" w:color="000000"/>
              <w:left w:val="single" w:sz="8" w:space="0" w:color="000000"/>
              <w:bottom w:val="single" w:sz="8" w:space="0" w:color="000000"/>
              <w:right w:val="single" w:sz="8" w:space="0" w:color="000000"/>
            </w:tcBorders>
          </w:tcPr>
          <w:p w14:paraId="11D07197" w14:textId="77777777" w:rsidR="006824D3" w:rsidRDefault="00000000">
            <w:pPr>
              <w:spacing w:after="0" w:line="259" w:lineRule="auto"/>
              <w:ind w:left="7" w:firstLine="0"/>
            </w:pPr>
            <w:r>
              <w:t xml:space="preserve">3 business days </w:t>
            </w:r>
          </w:p>
        </w:tc>
      </w:tr>
    </w:tbl>
    <w:p w14:paraId="650C8515" w14:textId="77777777" w:rsidR="006824D3" w:rsidRDefault="00000000">
      <w:pPr>
        <w:pStyle w:val="Heading1"/>
        <w:ind w:left="706" w:hanging="721"/>
      </w:pPr>
      <w:bookmarkStart w:id="8" w:name="_Toc20288"/>
      <w:r>
        <w:t xml:space="preserve">Global, Standard Change Management </w:t>
      </w:r>
      <w:bookmarkEnd w:id="8"/>
    </w:p>
    <w:p w14:paraId="2C5A6826" w14:textId="77777777" w:rsidR="006824D3" w:rsidRDefault="00000000">
      <w:pPr>
        <w:ind w:left="115"/>
      </w:pPr>
      <w:r>
        <w:t xml:space="preserve">DIT has a Change Management Process with the goal of protecting the shared environment of the State’s infrastructure from unintended impacts because of changes made to the various systems, applications, and equipment operating on the enterprise network and in the State Data Centers managed by DIT. Additionally, DIT sponsors the Enterprise Change Advisory Board (ECAB), whose membership consists of agency and DIT representatives. The ECAB meets regularly to communicate all Major and Significant changes to its members. </w:t>
      </w:r>
    </w:p>
    <w:p w14:paraId="235A3467" w14:textId="77777777" w:rsidR="006824D3" w:rsidRDefault="00000000">
      <w:pPr>
        <w:spacing w:after="211"/>
        <w:ind w:left="115"/>
      </w:pPr>
      <w:r>
        <w:t xml:space="preserve">All ECAB members must adhere to the following guidelines: </w:t>
      </w:r>
    </w:p>
    <w:p w14:paraId="5699088B" w14:textId="77777777" w:rsidR="006824D3" w:rsidRDefault="00000000">
      <w:pPr>
        <w:numPr>
          <w:ilvl w:val="0"/>
          <w:numId w:val="12"/>
        </w:numPr>
        <w:spacing w:after="176" w:line="259" w:lineRule="auto"/>
        <w:ind w:left="599" w:right="53" w:hanging="361"/>
      </w:pPr>
      <w:r>
        <w:t xml:space="preserve">Customers will have an agency representative attend and participate in the </w:t>
      </w:r>
      <w:proofErr w:type="gramStart"/>
      <w:r>
        <w:t>ECAB</w:t>
      </w:r>
      <w:proofErr w:type="gramEnd"/>
      <w:r>
        <w:t xml:space="preserve"> </w:t>
      </w:r>
    </w:p>
    <w:p w14:paraId="47E98E05" w14:textId="77777777" w:rsidR="006824D3" w:rsidRDefault="00000000">
      <w:pPr>
        <w:numPr>
          <w:ilvl w:val="0"/>
          <w:numId w:val="12"/>
        </w:numPr>
        <w:spacing w:after="133"/>
        <w:ind w:left="599" w:right="53" w:hanging="361"/>
      </w:pPr>
      <w:r>
        <w:lastRenderedPageBreak/>
        <w:t xml:space="preserve">Customers will notify DIT and other agencies of any agency planned changes to the DIT provided </w:t>
      </w:r>
      <w:proofErr w:type="gramStart"/>
      <w:r>
        <w:t>infrastructure</w:t>
      </w:r>
      <w:proofErr w:type="gramEnd"/>
      <w:r>
        <w:t xml:space="preserve"> </w:t>
      </w:r>
    </w:p>
    <w:p w14:paraId="65FA2144" w14:textId="77777777" w:rsidR="006824D3" w:rsidRDefault="00000000">
      <w:pPr>
        <w:spacing w:after="0"/>
        <w:ind w:left="115"/>
      </w:pPr>
      <w:r>
        <w:t xml:space="preserve">There are three levels of change types utilized to facilitate Customer Change Requests; and necessitate the lead times listed below for effective and efficient implementation: </w:t>
      </w:r>
    </w:p>
    <w:tbl>
      <w:tblPr>
        <w:tblStyle w:val="TableGrid"/>
        <w:tblW w:w="8819" w:type="dxa"/>
        <w:tblInd w:w="183" w:type="dxa"/>
        <w:tblCellMar>
          <w:top w:w="63" w:type="dxa"/>
          <w:left w:w="115" w:type="dxa"/>
          <w:right w:w="115" w:type="dxa"/>
        </w:tblCellMar>
        <w:tblLook w:val="04A0" w:firstRow="1" w:lastRow="0" w:firstColumn="1" w:lastColumn="0" w:noHBand="0" w:noVBand="1"/>
      </w:tblPr>
      <w:tblGrid>
        <w:gridCol w:w="3949"/>
        <w:gridCol w:w="4870"/>
      </w:tblGrid>
      <w:tr w:rsidR="006824D3" w14:paraId="778742F2" w14:textId="77777777">
        <w:trPr>
          <w:trHeight w:val="421"/>
        </w:trPr>
        <w:tc>
          <w:tcPr>
            <w:tcW w:w="3949" w:type="dxa"/>
            <w:tcBorders>
              <w:top w:val="single" w:sz="8" w:space="0" w:color="000000"/>
              <w:left w:val="single" w:sz="8" w:space="0" w:color="000000"/>
              <w:bottom w:val="single" w:sz="8" w:space="0" w:color="000000"/>
              <w:right w:val="single" w:sz="8" w:space="0" w:color="000000"/>
            </w:tcBorders>
            <w:shd w:val="clear" w:color="auto" w:fill="2E74B5"/>
          </w:tcPr>
          <w:p w14:paraId="47DB2A89" w14:textId="77777777" w:rsidR="006824D3" w:rsidRDefault="00000000">
            <w:pPr>
              <w:spacing w:after="0" w:line="259" w:lineRule="auto"/>
              <w:ind w:left="5" w:firstLine="0"/>
              <w:jc w:val="center"/>
            </w:pPr>
            <w:r>
              <w:rPr>
                <w:color w:val="FFFFFF"/>
              </w:rPr>
              <w:t>Change Request Type</w:t>
            </w:r>
            <w:r>
              <w:t xml:space="preserve"> </w:t>
            </w:r>
          </w:p>
        </w:tc>
        <w:tc>
          <w:tcPr>
            <w:tcW w:w="4869" w:type="dxa"/>
            <w:tcBorders>
              <w:top w:val="single" w:sz="8" w:space="0" w:color="000000"/>
              <w:left w:val="single" w:sz="8" w:space="0" w:color="000000"/>
              <w:bottom w:val="single" w:sz="8" w:space="0" w:color="000000"/>
              <w:right w:val="single" w:sz="8" w:space="0" w:color="000000"/>
            </w:tcBorders>
            <w:shd w:val="clear" w:color="auto" w:fill="2E74B5"/>
          </w:tcPr>
          <w:p w14:paraId="3DFB94C6" w14:textId="77777777" w:rsidR="006824D3" w:rsidRDefault="00000000">
            <w:pPr>
              <w:spacing w:after="0" w:line="259" w:lineRule="auto"/>
              <w:ind w:left="0" w:firstLine="0"/>
              <w:jc w:val="center"/>
            </w:pPr>
            <w:r>
              <w:rPr>
                <w:color w:val="FFFFFF"/>
              </w:rPr>
              <w:t>Required Lead Time</w:t>
            </w:r>
            <w:r>
              <w:t xml:space="preserve"> </w:t>
            </w:r>
          </w:p>
        </w:tc>
      </w:tr>
      <w:tr w:rsidR="006824D3" w14:paraId="3AB4F1DE" w14:textId="77777777">
        <w:trPr>
          <w:trHeight w:val="432"/>
        </w:trPr>
        <w:tc>
          <w:tcPr>
            <w:tcW w:w="3949" w:type="dxa"/>
            <w:tcBorders>
              <w:top w:val="single" w:sz="8" w:space="0" w:color="000000"/>
              <w:left w:val="single" w:sz="8" w:space="0" w:color="000000"/>
              <w:bottom w:val="single" w:sz="8" w:space="0" w:color="000000"/>
              <w:right w:val="single" w:sz="8" w:space="0" w:color="000000"/>
            </w:tcBorders>
          </w:tcPr>
          <w:p w14:paraId="1B204802" w14:textId="77777777" w:rsidR="006824D3" w:rsidRDefault="00000000">
            <w:pPr>
              <w:spacing w:after="0" w:line="259" w:lineRule="auto"/>
              <w:ind w:left="6" w:firstLine="0"/>
              <w:jc w:val="center"/>
            </w:pPr>
            <w:r>
              <w:t xml:space="preserve">Extensive/Widespread </w:t>
            </w:r>
          </w:p>
        </w:tc>
        <w:tc>
          <w:tcPr>
            <w:tcW w:w="4869" w:type="dxa"/>
            <w:tcBorders>
              <w:top w:val="single" w:sz="8" w:space="0" w:color="000000"/>
              <w:left w:val="single" w:sz="8" w:space="0" w:color="000000"/>
              <w:bottom w:val="single" w:sz="8" w:space="0" w:color="000000"/>
              <w:right w:val="single" w:sz="8" w:space="0" w:color="000000"/>
            </w:tcBorders>
          </w:tcPr>
          <w:p w14:paraId="40774593" w14:textId="77777777" w:rsidR="006824D3" w:rsidRDefault="00000000">
            <w:pPr>
              <w:spacing w:after="0" w:line="259" w:lineRule="auto"/>
              <w:ind w:left="14" w:firstLine="0"/>
              <w:jc w:val="center"/>
            </w:pPr>
            <w:r>
              <w:t xml:space="preserve">30 Calendar days </w:t>
            </w:r>
          </w:p>
        </w:tc>
      </w:tr>
      <w:tr w:rsidR="006824D3" w14:paraId="5992D5CC" w14:textId="77777777">
        <w:trPr>
          <w:trHeight w:val="430"/>
        </w:trPr>
        <w:tc>
          <w:tcPr>
            <w:tcW w:w="3949" w:type="dxa"/>
            <w:tcBorders>
              <w:top w:val="single" w:sz="8" w:space="0" w:color="000000"/>
              <w:left w:val="single" w:sz="8" w:space="0" w:color="000000"/>
              <w:bottom w:val="single" w:sz="8" w:space="0" w:color="000000"/>
              <w:right w:val="single" w:sz="8" w:space="0" w:color="000000"/>
            </w:tcBorders>
          </w:tcPr>
          <w:p w14:paraId="4AAFA6D7" w14:textId="77777777" w:rsidR="006824D3" w:rsidRDefault="00000000">
            <w:pPr>
              <w:spacing w:after="0" w:line="259" w:lineRule="auto"/>
              <w:ind w:firstLine="0"/>
              <w:jc w:val="center"/>
            </w:pPr>
            <w:r>
              <w:t xml:space="preserve">Significant/Large </w:t>
            </w:r>
          </w:p>
        </w:tc>
        <w:tc>
          <w:tcPr>
            <w:tcW w:w="4869" w:type="dxa"/>
            <w:tcBorders>
              <w:top w:val="single" w:sz="8" w:space="0" w:color="000000"/>
              <w:left w:val="single" w:sz="8" w:space="0" w:color="000000"/>
              <w:bottom w:val="single" w:sz="8" w:space="0" w:color="000000"/>
              <w:right w:val="single" w:sz="8" w:space="0" w:color="000000"/>
            </w:tcBorders>
          </w:tcPr>
          <w:p w14:paraId="4FA07419" w14:textId="77777777" w:rsidR="006824D3" w:rsidRDefault="00000000">
            <w:pPr>
              <w:spacing w:after="0" w:line="259" w:lineRule="auto"/>
              <w:ind w:left="9" w:firstLine="0"/>
              <w:jc w:val="center"/>
            </w:pPr>
            <w:r>
              <w:t xml:space="preserve">14 business days </w:t>
            </w:r>
          </w:p>
        </w:tc>
      </w:tr>
      <w:tr w:rsidR="006824D3" w14:paraId="471F4F9A" w14:textId="77777777">
        <w:trPr>
          <w:trHeight w:val="425"/>
        </w:trPr>
        <w:tc>
          <w:tcPr>
            <w:tcW w:w="3949" w:type="dxa"/>
            <w:tcBorders>
              <w:top w:val="single" w:sz="8" w:space="0" w:color="000000"/>
              <w:left w:val="single" w:sz="8" w:space="0" w:color="000000"/>
              <w:bottom w:val="single" w:sz="8" w:space="0" w:color="000000"/>
              <w:right w:val="single" w:sz="8" w:space="0" w:color="000000"/>
            </w:tcBorders>
          </w:tcPr>
          <w:p w14:paraId="7120D078" w14:textId="77777777" w:rsidR="006824D3" w:rsidRDefault="00000000">
            <w:pPr>
              <w:spacing w:after="0" w:line="259" w:lineRule="auto"/>
              <w:ind w:left="8" w:firstLine="0"/>
              <w:jc w:val="center"/>
            </w:pPr>
            <w:r>
              <w:t xml:space="preserve">Moderate/Limited </w:t>
            </w:r>
          </w:p>
        </w:tc>
        <w:tc>
          <w:tcPr>
            <w:tcW w:w="4869" w:type="dxa"/>
            <w:tcBorders>
              <w:top w:val="single" w:sz="8" w:space="0" w:color="000000"/>
              <w:left w:val="single" w:sz="8" w:space="0" w:color="000000"/>
              <w:bottom w:val="single" w:sz="8" w:space="0" w:color="000000"/>
              <w:right w:val="single" w:sz="8" w:space="0" w:color="000000"/>
            </w:tcBorders>
          </w:tcPr>
          <w:p w14:paraId="12EA71E0" w14:textId="77777777" w:rsidR="006824D3" w:rsidRDefault="00000000">
            <w:pPr>
              <w:spacing w:after="0" w:line="259" w:lineRule="auto"/>
              <w:ind w:left="1" w:firstLine="0"/>
              <w:jc w:val="center"/>
            </w:pPr>
            <w:r>
              <w:t xml:space="preserve">7 Calendar days </w:t>
            </w:r>
          </w:p>
        </w:tc>
      </w:tr>
    </w:tbl>
    <w:p w14:paraId="173DADC0" w14:textId="77777777" w:rsidR="006824D3" w:rsidRDefault="00000000">
      <w:pPr>
        <w:pStyle w:val="Heading1"/>
        <w:ind w:left="706" w:hanging="721"/>
      </w:pPr>
      <w:bookmarkStart w:id="9" w:name="_Toc20289"/>
      <w:r>
        <w:t xml:space="preserve">Customer Communication </w:t>
      </w:r>
      <w:bookmarkEnd w:id="9"/>
    </w:p>
    <w:p w14:paraId="343F5A52" w14:textId="77777777" w:rsidR="006824D3" w:rsidRDefault="00000000">
      <w:pPr>
        <w:ind w:left="115"/>
      </w:pPr>
      <w:r>
        <w:t xml:space="preserve">DIT will update customers as tickets are being worked and upon ticket resolution. DIT will also provide communications through the DIT Customer Communications Hub when Incidents or outages occur that may impact the customer. In addition, the Digital Ninjas Teams channel space is used for communication of best practices and tips, training opportunities, maintenance, patching, and more. It is restricted to Website Managers of Digital Commons websites. </w:t>
      </w:r>
    </w:p>
    <w:p w14:paraId="7D78BEC6" w14:textId="77777777" w:rsidR="006824D3" w:rsidRDefault="00000000">
      <w:pPr>
        <w:spacing w:after="207"/>
        <w:ind w:left="115"/>
      </w:pPr>
      <w:r>
        <w:t xml:space="preserve">If you are a customer of applicable Services updated via the DIT Communications Hub, please visit the site to self-register for communications and notifications relative to the Service </w:t>
      </w:r>
      <w:proofErr w:type="gramStart"/>
      <w:r>
        <w:t>in order to</w:t>
      </w:r>
      <w:proofErr w:type="gramEnd"/>
      <w:r>
        <w:t xml:space="preserve"> view and receive communications and status. </w:t>
      </w:r>
    </w:p>
    <w:p w14:paraId="1C3B9A9B" w14:textId="77777777" w:rsidR="006824D3" w:rsidRDefault="00000000">
      <w:pPr>
        <w:numPr>
          <w:ilvl w:val="0"/>
          <w:numId w:val="13"/>
        </w:numPr>
        <w:ind w:hanging="361"/>
      </w:pPr>
      <w:r>
        <w:t xml:space="preserve">The DIT Communications Hub registration and access is restricted to government and educational agencies. </w:t>
      </w:r>
    </w:p>
    <w:p w14:paraId="35A6FCB5" w14:textId="77777777" w:rsidR="006824D3" w:rsidRDefault="00000000">
      <w:pPr>
        <w:tabs>
          <w:tab w:val="center" w:pos="1399"/>
          <w:tab w:val="center" w:pos="2535"/>
          <w:tab w:val="center" w:pos="3657"/>
          <w:tab w:val="center" w:pos="4845"/>
          <w:tab w:val="center" w:pos="6719"/>
          <w:tab w:val="right" w:pos="9108"/>
        </w:tabs>
        <w:spacing w:after="0"/>
        <w:ind w:left="0" w:firstLine="0"/>
      </w:pPr>
      <w:r>
        <w:t xml:space="preserve">The </w:t>
      </w:r>
      <w:r>
        <w:tab/>
        <w:t xml:space="preserve">link </w:t>
      </w:r>
      <w:r>
        <w:tab/>
        <w:t xml:space="preserve">to </w:t>
      </w:r>
      <w:r>
        <w:tab/>
        <w:t xml:space="preserve">the </w:t>
      </w:r>
      <w:r>
        <w:tab/>
        <w:t xml:space="preserve">DIT </w:t>
      </w:r>
      <w:r>
        <w:tab/>
        <w:t xml:space="preserve">Communications </w:t>
      </w:r>
      <w:r>
        <w:tab/>
      </w:r>
      <w:proofErr w:type="spellStart"/>
      <w:r>
        <w:t>Hubis</w:t>
      </w:r>
      <w:proofErr w:type="spellEnd"/>
      <w:r>
        <w:t xml:space="preserve"> </w:t>
      </w:r>
    </w:p>
    <w:p w14:paraId="623981C5" w14:textId="77777777" w:rsidR="006824D3" w:rsidRDefault="00000000">
      <w:r>
        <w:t>https://ncconnect.sharepoint.com/sites/it_ext/com_hub</w:t>
      </w:r>
      <w:r>
        <w:rPr>
          <w:rFonts w:ascii="Arial" w:eastAsia="Arial" w:hAnsi="Arial" w:cs="Arial"/>
          <w:sz w:val="22"/>
        </w:rPr>
        <w:t xml:space="preserve"> </w:t>
      </w:r>
    </w:p>
    <w:p w14:paraId="5334507C" w14:textId="77777777" w:rsidR="006824D3" w:rsidRDefault="00000000">
      <w:pPr>
        <w:numPr>
          <w:ilvl w:val="0"/>
          <w:numId w:val="13"/>
        </w:numPr>
        <w:ind w:hanging="361"/>
      </w:pPr>
      <w:r>
        <w:t xml:space="preserve">If you are unable to access the new </w:t>
      </w:r>
      <w:proofErr w:type="gramStart"/>
      <w:r>
        <w:t>DIT Communications Hub</w:t>
      </w:r>
      <w:proofErr w:type="gramEnd"/>
      <w:r>
        <w:t xml:space="preserve"> please contact the DIT Service Desk at 919-754-6000 or its.incidents@its.nc.gov. </w:t>
      </w:r>
    </w:p>
    <w:p w14:paraId="190090CC" w14:textId="77777777" w:rsidR="006824D3" w:rsidRDefault="00000000">
      <w:pPr>
        <w:numPr>
          <w:ilvl w:val="0"/>
          <w:numId w:val="13"/>
        </w:numPr>
        <w:spacing w:after="128"/>
        <w:ind w:hanging="361"/>
      </w:pPr>
      <w:r>
        <w:t xml:space="preserve">The </w:t>
      </w:r>
      <w:r>
        <w:tab/>
        <w:t xml:space="preserve">link </w:t>
      </w:r>
      <w:r>
        <w:tab/>
        <w:t xml:space="preserve">to </w:t>
      </w:r>
      <w:r>
        <w:tab/>
        <w:t xml:space="preserve">the </w:t>
      </w:r>
      <w:r>
        <w:tab/>
        <w:t xml:space="preserve">Digital </w:t>
      </w:r>
      <w:r>
        <w:tab/>
        <w:t xml:space="preserve">Ninjas </w:t>
      </w:r>
      <w:r>
        <w:tab/>
        <w:t xml:space="preserve">Teams </w:t>
      </w:r>
      <w:r>
        <w:tab/>
        <w:t xml:space="preserve">channel </w:t>
      </w:r>
      <w:r>
        <w:tab/>
        <w:t xml:space="preserve">is https://teams.microsoft.com/_#/conversations/General?threadId=19:0277d93 a4a0f4c04bc6301fda7f3cf48@thread.skype&amp;ctx=channel </w:t>
      </w:r>
    </w:p>
    <w:p w14:paraId="45BF9D3A" w14:textId="77777777" w:rsidR="006824D3" w:rsidRDefault="00000000">
      <w:pPr>
        <w:spacing w:after="420"/>
        <w:ind w:left="115"/>
      </w:pPr>
      <w:r>
        <w:t xml:space="preserve">Customers may also subscribe to the Projected Service Outage Report via the Communications Hub which provides information regarding upcoming change events that have the potential to impact services and lines of business. </w:t>
      </w:r>
    </w:p>
    <w:p w14:paraId="62FF9FF9" w14:textId="77777777" w:rsidR="006824D3" w:rsidRDefault="00000000">
      <w:pPr>
        <w:pStyle w:val="Heading1"/>
        <w:ind w:left="706" w:hanging="721"/>
      </w:pPr>
      <w:bookmarkStart w:id="10" w:name="_Toc20290"/>
      <w:r>
        <w:lastRenderedPageBreak/>
        <w:t xml:space="preserve">Security Standards and Policies </w:t>
      </w:r>
      <w:bookmarkEnd w:id="10"/>
    </w:p>
    <w:p w14:paraId="03A8EE80" w14:textId="77777777" w:rsidR="006824D3" w:rsidRDefault="00000000">
      <w:pPr>
        <w:spacing w:after="415"/>
        <w:ind w:left="115"/>
      </w:pPr>
      <w:r>
        <w:t xml:space="preserve">DIT services adhere to DIT and State CIO Security Standards and Policies. The Customer is responsible for ensuring that their systems, applications, </w:t>
      </w:r>
      <w:proofErr w:type="gramStart"/>
      <w:r>
        <w:t>processes</w:t>
      </w:r>
      <w:proofErr w:type="gramEnd"/>
      <w:r>
        <w:t xml:space="preserve"> and data are compliant with and follow State CIO Security Standards and Policies. As an example, the Customer is responsible for classifying their data and identifying additional security that may be required for data classifications such as PII, HIPPA, PCI or IRS 1075. Note: The Digital Commons platform is not classified to contain sensitive PII data, HIPPA, PCI or IRS 1075. </w:t>
      </w:r>
    </w:p>
    <w:p w14:paraId="02D24C37" w14:textId="77777777" w:rsidR="006824D3" w:rsidRDefault="00000000">
      <w:pPr>
        <w:pStyle w:val="Heading1"/>
        <w:ind w:left="706" w:hanging="721"/>
      </w:pPr>
      <w:bookmarkStart w:id="11" w:name="_Toc20291"/>
      <w:r>
        <w:t xml:space="preserve">Risk Management </w:t>
      </w:r>
      <w:bookmarkEnd w:id="11"/>
    </w:p>
    <w:p w14:paraId="58C297CC" w14:textId="77777777" w:rsidR="006824D3" w:rsidRDefault="00000000">
      <w:pPr>
        <w:ind w:left="115"/>
      </w:pPr>
      <w:r>
        <w:t xml:space="preserve">DIT provides business continuity services, including assistance with continuity </w:t>
      </w:r>
      <w:proofErr w:type="gramStart"/>
      <w:r>
        <w:t>planning</w:t>
      </w:r>
      <w:proofErr w:type="gramEnd"/>
      <w:r>
        <w:t xml:space="preserve"> </w:t>
      </w:r>
    </w:p>
    <w:p w14:paraId="3C464155" w14:textId="77777777" w:rsidR="006824D3" w:rsidRDefault="006824D3">
      <w:pPr>
        <w:sectPr w:rsidR="006824D3">
          <w:headerReference w:type="even" r:id="rId27"/>
          <w:headerReference w:type="default" r:id="rId28"/>
          <w:footerReference w:type="even" r:id="rId29"/>
          <w:footerReference w:type="default" r:id="rId30"/>
          <w:headerReference w:type="first" r:id="rId31"/>
          <w:footerReference w:type="first" r:id="rId32"/>
          <w:pgSz w:w="12240" w:h="15840"/>
          <w:pgMar w:top="1091" w:right="2051" w:bottom="1246" w:left="1081" w:header="720" w:footer="715" w:gutter="0"/>
          <w:cols w:space="720"/>
          <w:titlePg/>
        </w:sectPr>
      </w:pPr>
    </w:p>
    <w:p w14:paraId="6E452AA6" w14:textId="77777777" w:rsidR="006824D3" w:rsidRDefault="00000000">
      <w:pPr>
        <w:spacing w:after="414"/>
        <w:ind w:left="115" w:right="978"/>
      </w:pPr>
      <w:r>
        <w:lastRenderedPageBreak/>
        <w:t xml:space="preserve">strategies, to help agencies comply with G.S. 147-33.89. Other services include the availability of dual sites for application hosting, testing, and disaster recovery. DIT conducts a minimum of two disaster recovery exercises each year for its critical applications; hosted agencies are invited to participate. The customer is responsible for determining their disaster recovery objectives and purchasing any additional services or equipment that may be required to meet those objectives. </w:t>
      </w:r>
    </w:p>
    <w:p w14:paraId="6E821B29" w14:textId="77777777" w:rsidR="006824D3" w:rsidRDefault="00000000">
      <w:pPr>
        <w:pStyle w:val="Heading1"/>
        <w:ind w:left="706" w:hanging="721"/>
      </w:pPr>
      <w:bookmarkStart w:id="12" w:name="_Toc20292"/>
      <w:r>
        <w:t xml:space="preserve">Metrics and Reports </w:t>
      </w:r>
      <w:bookmarkEnd w:id="12"/>
    </w:p>
    <w:p w14:paraId="1058F3A7" w14:textId="77777777" w:rsidR="006824D3" w:rsidRDefault="00000000">
      <w:pPr>
        <w:spacing w:after="0"/>
        <w:ind w:left="115" w:right="1264"/>
      </w:pPr>
      <w:r>
        <w:t xml:space="preserve">Metrics and reports will be discussed at the Service Level Reviews. Archival of all reports shall follow the records retention schedule adopted by DIT and the State Records Branch General Schedule, as applicable. </w:t>
      </w:r>
    </w:p>
    <w:tbl>
      <w:tblPr>
        <w:tblStyle w:val="TableGrid"/>
        <w:tblW w:w="9272" w:type="dxa"/>
        <w:tblInd w:w="181" w:type="dxa"/>
        <w:tblCellMar>
          <w:top w:w="54" w:type="dxa"/>
          <w:left w:w="110" w:type="dxa"/>
          <w:right w:w="132" w:type="dxa"/>
        </w:tblCellMar>
        <w:tblLook w:val="04A0" w:firstRow="1" w:lastRow="0" w:firstColumn="1" w:lastColumn="0" w:noHBand="0" w:noVBand="1"/>
      </w:tblPr>
      <w:tblGrid>
        <w:gridCol w:w="2585"/>
        <w:gridCol w:w="2947"/>
        <w:gridCol w:w="1170"/>
        <w:gridCol w:w="2570"/>
      </w:tblGrid>
      <w:tr w:rsidR="006824D3" w14:paraId="2DBDF0AB" w14:textId="77777777">
        <w:trPr>
          <w:trHeight w:val="668"/>
        </w:trPr>
        <w:tc>
          <w:tcPr>
            <w:tcW w:w="2585" w:type="dxa"/>
            <w:tcBorders>
              <w:top w:val="single" w:sz="4" w:space="0" w:color="000000"/>
              <w:left w:val="single" w:sz="4" w:space="0" w:color="000000"/>
              <w:bottom w:val="single" w:sz="4" w:space="0" w:color="000000"/>
              <w:right w:val="single" w:sz="4" w:space="0" w:color="000000"/>
            </w:tcBorders>
            <w:shd w:val="clear" w:color="auto" w:fill="2E74B5"/>
          </w:tcPr>
          <w:p w14:paraId="3F87F59B" w14:textId="77777777" w:rsidR="006824D3" w:rsidRDefault="00000000">
            <w:pPr>
              <w:spacing w:after="0" w:line="259" w:lineRule="auto"/>
              <w:ind w:left="4" w:firstLine="0"/>
            </w:pPr>
            <w:r>
              <w:rPr>
                <w:color w:val="FFFFFF"/>
                <w:sz w:val="22"/>
              </w:rPr>
              <w:t>Report Name</w:t>
            </w:r>
            <w:r>
              <w:rPr>
                <w:sz w:val="22"/>
              </w:rPr>
              <w:t xml:space="preserve"> </w:t>
            </w:r>
          </w:p>
        </w:tc>
        <w:tc>
          <w:tcPr>
            <w:tcW w:w="2947" w:type="dxa"/>
            <w:tcBorders>
              <w:top w:val="single" w:sz="4" w:space="0" w:color="000000"/>
              <w:left w:val="single" w:sz="4" w:space="0" w:color="000000"/>
              <w:bottom w:val="single" w:sz="4" w:space="0" w:color="000000"/>
              <w:right w:val="single" w:sz="4" w:space="0" w:color="000000"/>
            </w:tcBorders>
            <w:shd w:val="clear" w:color="auto" w:fill="2E74B5"/>
          </w:tcPr>
          <w:p w14:paraId="5DE60E07" w14:textId="77777777" w:rsidR="006824D3" w:rsidRDefault="00000000">
            <w:pPr>
              <w:spacing w:after="0" w:line="259" w:lineRule="auto"/>
              <w:ind w:left="0" w:firstLine="0"/>
            </w:pPr>
            <w:r>
              <w:rPr>
                <w:color w:val="FFFFFF"/>
                <w:sz w:val="22"/>
              </w:rPr>
              <w:t>Reporting Metric</w:t>
            </w:r>
            <w:r>
              <w:rPr>
                <w:sz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2E74B5"/>
          </w:tcPr>
          <w:p w14:paraId="5DB510C3" w14:textId="77777777" w:rsidR="006824D3" w:rsidRDefault="00000000">
            <w:pPr>
              <w:spacing w:after="20" w:line="259" w:lineRule="auto"/>
              <w:ind w:left="0" w:firstLine="0"/>
            </w:pPr>
            <w:r>
              <w:rPr>
                <w:color w:val="FFFFFF"/>
                <w:sz w:val="22"/>
              </w:rPr>
              <w:t xml:space="preserve">Reporting </w:t>
            </w:r>
          </w:p>
          <w:p w14:paraId="0650EA1A" w14:textId="77777777" w:rsidR="006824D3" w:rsidRDefault="00000000">
            <w:pPr>
              <w:spacing w:after="0" w:line="259" w:lineRule="auto"/>
              <w:ind w:left="0" w:firstLine="0"/>
            </w:pPr>
            <w:r>
              <w:rPr>
                <w:color w:val="FFFFFF"/>
                <w:sz w:val="22"/>
              </w:rPr>
              <w:t>Interval</w:t>
            </w:r>
            <w:r>
              <w:rPr>
                <w:sz w:val="22"/>
              </w:rPr>
              <w:t xml:space="preserve"> </w:t>
            </w:r>
          </w:p>
        </w:tc>
        <w:tc>
          <w:tcPr>
            <w:tcW w:w="2570" w:type="dxa"/>
            <w:tcBorders>
              <w:top w:val="single" w:sz="4" w:space="0" w:color="000000"/>
              <w:left w:val="single" w:sz="4" w:space="0" w:color="000000"/>
              <w:bottom w:val="single" w:sz="4" w:space="0" w:color="000000"/>
              <w:right w:val="single" w:sz="4" w:space="0" w:color="000000"/>
            </w:tcBorders>
            <w:shd w:val="clear" w:color="auto" w:fill="2E74B5"/>
          </w:tcPr>
          <w:p w14:paraId="69319214" w14:textId="77777777" w:rsidR="006824D3" w:rsidRDefault="00000000">
            <w:pPr>
              <w:spacing w:after="0" w:line="259" w:lineRule="auto"/>
              <w:ind w:left="5" w:firstLine="0"/>
            </w:pPr>
            <w:r>
              <w:rPr>
                <w:color w:val="FFFFFF"/>
                <w:sz w:val="22"/>
              </w:rPr>
              <w:t>Reporting Source</w:t>
            </w:r>
            <w:r>
              <w:rPr>
                <w:sz w:val="22"/>
              </w:rPr>
              <w:t xml:space="preserve"> </w:t>
            </w:r>
          </w:p>
        </w:tc>
      </w:tr>
      <w:tr w:rsidR="006824D3" w14:paraId="2CAB3317" w14:textId="77777777">
        <w:trPr>
          <w:trHeight w:val="1252"/>
        </w:trPr>
        <w:tc>
          <w:tcPr>
            <w:tcW w:w="2585" w:type="dxa"/>
            <w:tcBorders>
              <w:top w:val="single" w:sz="4" w:space="0" w:color="000000"/>
              <w:left w:val="single" w:sz="4" w:space="0" w:color="000000"/>
              <w:bottom w:val="single" w:sz="4" w:space="0" w:color="000000"/>
              <w:right w:val="single" w:sz="4" w:space="0" w:color="000000"/>
            </w:tcBorders>
          </w:tcPr>
          <w:p w14:paraId="6AC69D12" w14:textId="77777777" w:rsidR="006824D3" w:rsidRDefault="00000000">
            <w:pPr>
              <w:spacing w:after="20" w:line="259" w:lineRule="auto"/>
              <w:ind w:left="4" w:firstLine="0"/>
            </w:pPr>
            <w:r>
              <w:rPr>
                <w:sz w:val="22"/>
              </w:rPr>
              <w:t xml:space="preserve">SLA Report for Incidents </w:t>
            </w:r>
          </w:p>
          <w:p w14:paraId="6084AA48" w14:textId="77777777" w:rsidR="006824D3" w:rsidRDefault="00000000">
            <w:pPr>
              <w:spacing w:after="0" w:line="259" w:lineRule="auto"/>
              <w:ind w:left="4" w:firstLine="0"/>
            </w:pPr>
            <w:r>
              <w:rPr>
                <w:sz w:val="22"/>
              </w:rPr>
              <w:t xml:space="preserve">Resolved </w:t>
            </w:r>
          </w:p>
        </w:tc>
        <w:tc>
          <w:tcPr>
            <w:tcW w:w="2947" w:type="dxa"/>
            <w:tcBorders>
              <w:top w:val="single" w:sz="4" w:space="0" w:color="000000"/>
              <w:left w:val="single" w:sz="4" w:space="0" w:color="000000"/>
              <w:bottom w:val="single" w:sz="4" w:space="0" w:color="000000"/>
              <w:right w:val="single" w:sz="4" w:space="0" w:color="000000"/>
            </w:tcBorders>
          </w:tcPr>
          <w:p w14:paraId="5C8577FA" w14:textId="77777777" w:rsidR="006824D3" w:rsidRDefault="00000000">
            <w:pPr>
              <w:spacing w:after="5" w:line="273" w:lineRule="auto"/>
              <w:ind w:left="0" w:firstLine="0"/>
            </w:pPr>
            <w:r>
              <w:rPr>
                <w:sz w:val="22"/>
              </w:rPr>
              <w:t xml:space="preserve">Resolved incidents within and outside of the </w:t>
            </w:r>
            <w:proofErr w:type="gramStart"/>
            <w:r>
              <w:rPr>
                <w:sz w:val="22"/>
              </w:rPr>
              <w:t>SLA;</w:t>
            </w:r>
            <w:proofErr w:type="gramEnd"/>
            <w:r>
              <w:rPr>
                <w:sz w:val="22"/>
              </w:rPr>
              <w:t xml:space="preserve"> </w:t>
            </w:r>
          </w:p>
          <w:p w14:paraId="07589A46" w14:textId="77777777" w:rsidR="006824D3" w:rsidRDefault="00000000">
            <w:pPr>
              <w:spacing w:after="20" w:line="259" w:lineRule="auto"/>
              <w:ind w:left="0" w:firstLine="0"/>
            </w:pPr>
            <w:r>
              <w:rPr>
                <w:sz w:val="22"/>
              </w:rPr>
              <w:t xml:space="preserve">Service Request Resolution </w:t>
            </w:r>
          </w:p>
          <w:p w14:paraId="6D232AD8" w14:textId="77777777" w:rsidR="006824D3" w:rsidRDefault="00000000">
            <w:pPr>
              <w:spacing w:after="0" w:line="259" w:lineRule="auto"/>
              <w:ind w:left="0" w:firstLine="0"/>
            </w:pPr>
            <w:r>
              <w:rPr>
                <w:sz w:val="22"/>
              </w:rPr>
              <w:t xml:space="preserve">Times </w:t>
            </w:r>
          </w:p>
        </w:tc>
        <w:tc>
          <w:tcPr>
            <w:tcW w:w="1170" w:type="dxa"/>
            <w:tcBorders>
              <w:top w:val="single" w:sz="4" w:space="0" w:color="000000"/>
              <w:left w:val="single" w:sz="4" w:space="0" w:color="000000"/>
              <w:bottom w:val="single" w:sz="4" w:space="0" w:color="000000"/>
              <w:right w:val="single" w:sz="4" w:space="0" w:color="000000"/>
            </w:tcBorders>
          </w:tcPr>
          <w:p w14:paraId="792FA23E" w14:textId="77777777" w:rsidR="006824D3" w:rsidRDefault="00000000">
            <w:pPr>
              <w:spacing w:after="0" w:line="259" w:lineRule="auto"/>
              <w:ind w:left="0" w:firstLine="0"/>
            </w:pPr>
            <w:r>
              <w:rPr>
                <w:sz w:val="22"/>
              </w:rPr>
              <w:t xml:space="preserve">Monthly </w:t>
            </w:r>
          </w:p>
        </w:tc>
        <w:tc>
          <w:tcPr>
            <w:tcW w:w="2570" w:type="dxa"/>
            <w:tcBorders>
              <w:top w:val="single" w:sz="4" w:space="0" w:color="000000"/>
              <w:left w:val="single" w:sz="4" w:space="0" w:color="000000"/>
              <w:bottom w:val="single" w:sz="4" w:space="0" w:color="000000"/>
              <w:right w:val="single" w:sz="4" w:space="0" w:color="000000"/>
            </w:tcBorders>
          </w:tcPr>
          <w:p w14:paraId="33701571" w14:textId="77777777" w:rsidR="006824D3" w:rsidRDefault="00000000">
            <w:pPr>
              <w:spacing w:after="20" w:line="259" w:lineRule="auto"/>
              <w:ind w:left="5" w:firstLine="0"/>
            </w:pPr>
            <w:r>
              <w:rPr>
                <w:sz w:val="22"/>
              </w:rPr>
              <w:t xml:space="preserve">Service Management </w:t>
            </w:r>
          </w:p>
          <w:p w14:paraId="6DF35FB2" w14:textId="77777777" w:rsidR="006824D3" w:rsidRDefault="00000000">
            <w:pPr>
              <w:spacing w:after="0" w:line="259" w:lineRule="auto"/>
              <w:ind w:left="5" w:firstLine="0"/>
            </w:pPr>
            <w:r>
              <w:rPr>
                <w:sz w:val="22"/>
              </w:rPr>
              <w:t xml:space="preserve">Reporting Tool </w:t>
            </w:r>
          </w:p>
        </w:tc>
      </w:tr>
      <w:tr w:rsidR="006824D3" w14:paraId="668C289E" w14:textId="77777777">
        <w:trPr>
          <w:trHeight w:val="930"/>
        </w:trPr>
        <w:tc>
          <w:tcPr>
            <w:tcW w:w="2585" w:type="dxa"/>
            <w:tcBorders>
              <w:top w:val="single" w:sz="4" w:space="0" w:color="000000"/>
              <w:left w:val="single" w:sz="4" w:space="0" w:color="000000"/>
              <w:bottom w:val="single" w:sz="4" w:space="0" w:color="000000"/>
              <w:right w:val="single" w:sz="4" w:space="0" w:color="000000"/>
            </w:tcBorders>
          </w:tcPr>
          <w:p w14:paraId="3ED3C3E9" w14:textId="77777777" w:rsidR="006824D3" w:rsidRDefault="00000000">
            <w:pPr>
              <w:spacing w:after="15" w:line="259" w:lineRule="auto"/>
              <w:ind w:left="4" w:firstLine="0"/>
            </w:pPr>
            <w:r>
              <w:rPr>
                <w:sz w:val="22"/>
              </w:rPr>
              <w:t xml:space="preserve">Change </w:t>
            </w:r>
          </w:p>
          <w:p w14:paraId="5D0F9138" w14:textId="77777777" w:rsidR="006824D3" w:rsidRDefault="00000000">
            <w:pPr>
              <w:spacing w:after="0" w:line="259" w:lineRule="auto"/>
              <w:ind w:left="4" w:firstLine="0"/>
            </w:pPr>
            <w:r>
              <w:rPr>
                <w:sz w:val="22"/>
              </w:rPr>
              <w:t xml:space="preserve">Management </w:t>
            </w:r>
          </w:p>
        </w:tc>
        <w:tc>
          <w:tcPr>
            <w:tcW w:w="2947" w:type="dxa"/>
            <w:tcBorders>
              <w:top w:val="single" w:sz="4" w:space="0" w:color="000000"/>
              <w:left w:val="single" w:sz="4" w:space="0" w:color="000000"/>
              <w:bottom w:val="single" w:sz="4" w:space="0" w:color="000000"/>
              <w:right w:val="single" w:sz="4" w:space="0" w:color="000000"/>
            </w:tcBorders>
          </w:tcPr>
          <w:p w14:paraId="3942E770" w14:textId="77777777" w:rsidR="006824D3" w:rsidRDefault="00000000">
            <w:pPr>
              <w:spacing w:after="0" w:line="259" w:lineRule="auto"/>
              <w:ind w:left="0" w:right="647" w:firstLine="0"/>
              <w:jc w:val="both"/>
            </w:pPr>
            <w:r>
              <w:rPr>
                <w:sz w:val="22"/>
              </w:rPr>
              <w:t xml:space="preserve">Successful Changes as defined in the Change Management Process </w:t>
            </w:r>
          </w:p>
        </w:tc>
        <w:tc>
          <w:tcPr>
            <w:tcW w:w="1170" w:type="dxa"/>
            <w:tcBorders>
              <w:top w:val="single" w:sz="4" w:space="0" w:color="000000"/>
              <w:left w:val="single" w:sz="4" w:space="0" w:color="000000"/>
              <w:bottom w:val="single" w:sz="4" w:space="0" w:color="000000"/>
              <w:right w:val="single" w:sz="4" w:space="0" w:color="000000"/>
            </w:tcBorders>
          </w:tcPr>
          <w:p w14:paraId="56B58236" w14:textId="77777777" w:rsidR="006824D3" w:rsidRDefault="00000000">
            <w:pPr>
              <w:spacing w:after="0" w:line="259" w:lineRule="auto"/>
              <w:ind w:left="0" w:firstLine="0"/>
            </w:pPr>
            <w:r>
              <w:rPr>
                <w:sz w:val="22"/>
              </w:rPr>
              <w:t xml:space="preserve">Monthly </w:t>
            </w:r>
          </w:p>
        </w:tc>
        <w:tc>
          <w:tcPr>
            <w:tcW w:w="2570" w:type="dxa"/>
            <w:tcBorders>
              <w:top w:val="single" w:sz="4" w:space="0" w:color="000000"/>
              <w:left w:val="single" w:sz="4" w:space="0" w:color="000000"/>
              <w:bottom w:val="single" w:sz="4" w:space="0" w:color="000000"/>
              <w:right w:val="single" w:sz="4" w:space="0" w:color="000000"/>
            </w:tcBorders>
          </w:tcPr>
          <w:p w14:paraId="0C51393F" w14:textId="77777777" w:rsidR="006824D3" w:rsidRDefault="00000000">
            <w:pPr>
              <w:spacing w:after="15" w:line="259" w:lineRule="auto"/>
              <w:ind w:left="5" w:firstLine="0"/>
            </w:pPr>
            <w:r>
              <w:rPr>
                <w:sz w:val="22"/>
              </w:rPr>
              <w:t xml:space="preserve">Remedy Change </w:t>
            </w:r>
          </w:p>
          <w:p w14:paraId="230DE162" w14:textId="77777777" w:rsidR="006824D3" w:rsidRDefault="00000000">
            <w:pPr>
              <w:spacing w:after="0" w:line="259" w:lineRule="auto"/>
              <w:ind w:left="5" w:firstLine="0"/>
            </w:pPr>
            <w:r>
              <w:rPr>
                <w:sz w:val="22"/>
              </w:rPr>
              <w:t xml:space="preserve">Tickets </w:t>
            </w:r>
          </w:p>
        </w:tc>
      </w:tr>
      <w:tr w:rsidR="006824D3" w14:paraId="53C622DB" w14:textId="77777777">
        <w:trPr>
          <w:trHeight w:val="1236"/>
        </w:trPr>
        <w:tc>
          <w:tcPr>
            <w:tcW w:w="2585" w:type="dxa"/>
            <w:tcBorders>
              <w:top w:val="single" w:sz="4" w:space="0" w:color="000000"/>
              <w:left w:val="single" w:sz="4" w:space="0" w:color="000000"/>
              <w:bottom w:val="single" w:sz="4" w:space="0" w:color="000000"/>
              <w:right w:val="single" w:sz="4" w:space="0" w:color="000000"/>
            </w:tcBorders>
          </w:tcPr>
          <w:p w14:paraId="29FF2232" w14:textId="77777777" w:rsidR="006824D3" w:rsidRDefault="00000000">
            <w:pPr>
              <w:spacing w:after="0" w:line="259" w:lineRule="auto"/>
              <w:ind w:left="4" w:firstLine="0"/>
            </w:pPr>
            <w:r>
              <w:rPr>
                <w:sz w:val="22"/>
              </w:rPr>
              <w:t xml:space="preserve">Customer Satisfaction </w:t>
            </w:r>
          </w:p>
        </w:tc>
        <w:tc>
          <w:tcPr>
            <w:tcW w:w="2947" w:type="dxa"/>
            <w:tcBorders>
              <w:top w:val="single" w:sz="4" w:space="0" w:color="000000"/>
              <w:left w:val="single" w:sz="4" w:space="0" w:color="000000"/>
              <w:bottom w:val="single" w:sz="4" w:space="0" w:color="000000"/>
              <w:right w:val="single" w:sz="4" w:space="0" w:color="000000"/>
            </w:tcBorders>
          </w:tcPr>
          <w:p w14:paraId="3BCFA81D" w14:textId="77777777" w:rsidR="006824D3" w:rsidRDefault="00000000">
            <w:pPr>
              <w:spacing w:after="0" w:line="259" w:lineRule="auto"/>
              <w:ind w:left="0" w:right="122" w:firstLine="0"/>
              <w:jc w:val="both"/>
            </w:pPr>
            <w:r>
              <w:rPr>
                <w:sz w:val="22"/>
              </w:rPr>
              <w:t xml:space="preserve">Customers Satisfied with DIT handling of their tickets as defined in the DIT Operational Scorecard </w:t>
            </w:r>
          </w:p>
        </w:tc>
        <w:tc>
          <w:tcPr>
            <w:tcW w:w="1170" w:type="dxa"/>
            <w:tcBorders>
              <w:top w:val="single" w:sz="4" w:space="0" w:color="000000"/>
              <w:left w:val="single" w:sz="4" w:space="0" w:color="000000"/>
              <w:bottom w:val="single" w:sz="4" w:space="0" w:color="000000"/>
              <w:right w:val="single" w:sz="4" w:space="0" w:color="000000"/>
            </w:tcBorders>
          </w:tcPr>
          <w:p w14:paraId="2871331C" w14:textId="77777777" w:rsidR="006824D3" w:rsidRDefault="00000000">
            <w:pPr>
              <w:spacing w:after="0" w:line="259" w:lineRule="auto"/>
              <w:ind w:left="0" w:firstLine="0"/>
            </w:pPr>
            <w:r>
              <w:rPr>
                <w:sz w:val="22"/>
              </w:rPr>
              <w:t xml:space="preserve">Monthly </w:t>
            </w:r>
          </w:p>
        </w:tc>
        <w:tc>
          <w:tcPr>
            <w:tcW w:w="2570" w:type="dxa"/>
            <w:tcBorders>
              <w:top w:val="single" w:sz="4" w:space="0" w:color="000000"/>
              <w:left w:val="single" w:sz="4" w:space="0" w:color="000000"/>
              <w:bottom w:val="single" w:sz="4" w:space="0" w:color="000000"/>
              <w:right w:val="single" w:sz="4" w:space="0" w:color="000000"/>
            </w:tcBorders>
          </w:tcPr>
          <w:p w14:paraId="19C27318" w14:textId="77777777" w:rsidR="006824D3" w:rsidRDefault="00000000">
            <w:pPr>
              <w:spacing w:after="0" w:line="259" w:lineRule="auto"/>
              <w:ind w:left="5" w:right="179" w:firstLine="0"/>
              <w:jc w:val="both"/>
            </w:pPr>
            <w:r>
              <w:rPr>
                <w:sz w:val="22"/>
              </w:rPr>
              <w:t xml:space="preserve">Ticket Survey feedback forms </w:t>
            </w:r>
          </w:p>
        </w:tc>
      </w:tr>
    </w:tbl>
    <w:p w14:paraId="7333FBCE" w14:textId="77777777" w:rsidR="006824D3" w:rsidRDefault="00000000">
      <w:pPr>
        <w:spacing w:after="411" w:line="259" w:lineRule="auto"/>
        <w:ind w:left="0" w:firstLine="0"/>
      </w:pPr>
      <w:r>
        <w:rPr>
          <w:rFonts w:ascii="Arial" w:eastAsia="Arial" w:hAnsi="Arial" w:cs="Arial"/>
          <w:sz w:val="22"/>
        </w:rPr>
        <w:t xml:space="preserve"> </w:t>
      </w:r>
    </w:p>
    <w:p w14:paraId="2C4FFC48" w14:textId="77777777" w:rsidR="006824D3" w:rsidRDefault="00000000">
      <w:pPr>
        <w:pStyle w:val="Heading1"/>
        <w:ind w:left="706" w:hanging="721"/>
      </w:pPr>
      <w:bookmarkStart w:id="13" w:name="_Toc20293"/>
      <w:r>
        <w:t xml:space="preserve">Confidentiality </w:t>
      </w:r>
      <w:bookmarkEnd w:id="13"/>
    </w:p>
    <w:p w14:paraId="138E261C" w14:textId="77777777" w:rsidR="006824D3" w:rsidRDefault="00000000">
      <w:pPr>
        <w:ind w:left="115" w:right="1235"/>
      </w:pPr>
      <w:r>
        <w:t xml:space="preserve">As a result of this SLA, each Party (DIT and the Customer) is likely to have access to information or records of the other Party that is exempt from disclosure under applicable law. Such information shall be deemed “Confidential Information.” Each Party shall maintain all Confidential Information of the other Party in strictest confidence and will not at any time use, publish, </w:t>
      </w:r>
      <w:proofErr w:type="gramStart"/>
      <w:r>
        <w:t>reproduce</w:t>
      </w:r>
      <w:proofErr w:type="gramEnd"/>
      <w:r>
        <w:t xml:space="preserve"> or disclose any Confidential Information, except to the extent necessary to carry out the Party’s duties under this SLA or as expressly authorized in writing by the other Party. </w:t>
      </w:r>
    </w:p>
    <w:p w14:paraId="4F58AC61" w14:textId="77777777" w:rsidR="006824D3" w:rsidRDefault="00000000">
      <w:pPr>
        <w:spacing w:after="436"/>
        <w:ind w:left="115" w:right="1098"/>
      </w:pPr>
      <w:r>
        <w:t xml:space="preserve">Each Party shall, prior to disclosing any Confidential Information to any contractor or other third party, promptly seek and obtain authorization for the disclosure from the other Party and shall ensure that the contractor or other third party is subject to a nondisclosure </w:t>
      </w:r>
      <w:r>
        <w:lastRenderedPageBreak/>
        <w:t xml:space="preserve">agreement enforceable in North Carolina. Nothing in this paragraph is intended to prevent either Party from compliance with any order issued by a North Carolina state or federal court. </w:t>
      </w:r>
    </w:p>
    <w:p w14:paraId="17D9E586" w14:textId="77777777" w:rsidR="006824D3" w:rsidRDefault="00000000">
      <w:pPr>
        <w:pStyle w:val="Heading1"/>
        <w:ind w:left="706" w:hanging="721"/>
      </w:pPr>
      <w:bookmarkStart w:id="14" w:name="_Toc20294"/>
      <w:r>
        <w:t xml:space="preserve">Performance and Limitations on Resources </w:t>
      </w:r>
      <w:bookmarkEnd w:id="14"/>
    </w:p>
    <w:p w14:paraId="1D4708D1" w14:textId="77777777" w:rsidR="006824D3" w:rsidRDefault="00000000">
      <w:pPr>
        <w:ind w:left="115" w:right="1269"/>
      </w:pPr>
      <w:r>
        <w:t xml:space="preserve">DIT will provide services under this SLA in accordance with the applicable Service Level Agreement. In the event of a natural disaster, other </w:t>
      </w:r>
      <w:proofErr w:type="gramStart"/>
      <w:r>
        <w:t>emergency</w:t>
      </w:r>
      <w:proofErr w:type="gramEnd"/>
      <w:r>
        <w:t xml:space="preserve"> or any event outside the reasonable control of DIT that results in abnormal availability or constraint on DIT resources, the Agency shall have no priority or greater right of access to available resources of DIT than any other customer or source. In such event, notwithstanding any other provision of this SLA, DIT may implement emergency procedures to allocate available resources and services as it may determine necessary or practicable in its reasonable judgment, and any failure or delay of performance during such period shall be excused. </w:t>
      </w:r>
    </w:p>
    <w:p w14:paraId="492A0A2C" w14:textId="77777777" w:rsidR="006824D3" w:rsidRDefault="00000000">
      <w:pPr>
        <w:spacing w:after="272" w:line="259" w:lineRule="auto"/>
        <w:ind w:left="115" w:firstLine="0"/>
      </w:pPr>
      <w:r>
        <w:t xml:space="preserve"> </w:t>
      </w:r>
    </w:p>
    <w:p w14:paraId="6CD5286D" w14:textId="77777777" w:rsidR="006824D3" w:rsidRDefault="00000000">
      <w:pPr>
        <w:spacing w:after="0" w:line="259" w:lineRule="auto"/>
        <w:ind w:left="0" w:firstLine="0"/>
      </w:pPr>
      <w:r>
        <w:rPr>
          <w:rFonts w:ascii="Arial" w:eastAsia="Arial" w:hAnsi="Arial" w:cs="Arial"/>
          <w:color w:val="2E74B5"/>
          <w:sz w:val="22"/>
        </w:rPr>
        <w:t xml:space="preserve"> </w:t>
      </w:r>
      <w:r>
        <w:rPr>
          <w:rFonts w:ascii="Arial" w:eastAsia="Arial" w:hAnsi="Arial" w:cs="Arial"/>
          <w:color w:val="2E74B5"/>
          <w:sz w:val="22"/>
        </w:rPr>
        <w:tab/>
      </w:r>
      <w:r>
        <w:rPr>
          <w:rFonts w:ascii="Arial" w:eastAsia="Arial" w:hAnsi="Arial" w:cs="Arial"/>
          <w:color w:val="2E74B5"/>
          <w:sz w:val="31"/>
        </w:rPr>
        <w:t xml:space="preserve"> </w:t>
      </w:r>
      <w:r>
        <w:br w:type="page"/>
      </w:r>
    </w:p>
    <w:p w14:paraId="487CD3C2" w14:textId="77777777" w:rsidR="006824D3" w:rsidRDefault="00000000">
      <w:pPr>
        <w:pStyle w:val="Heading1"/>
        <w:ind w:left="706" w:hanging="721"/>
      </w:pPr>
      <w:bookmarkStart w:id="15" w:name="_Toc20295"/>
      <w:r>
        <w:lastRenderedPageBreak/>
        <w:t xml:space="preserve">Signatures of Approval and Agreement Date </w:t>
      </w:r>
      <w:bookmarkEnd w:id="15"/>
    </w:p>
    <w:p w14:paraId="77D4A48C" w14:textId="77777777" w:rsidR="006824D3" w:rsidRDefault="00000000">
      <w:pPr>
        <w:spacing w:after="179" w:line="259" w:lineRule="auto"/>
        <w:ind w:left="115" w:firstLine="0"/>
      </w:pPr>
      <w:r>
        <w:t xml:space="preserve"> </w:t>
      </w:r>
    </w:p>
    <w:p w14:paraId="33B97E5B" w14:textId="77777777" w:rsidR="006824D3" w:rsidRDefault="00000000">
      <w:pPr>
        <w:ind w:left="115" w:right="1234"/>
      </w:pPr>
      <w:r>
        <w:t xml:space="preserve">WHEREFORE, intending to be bound hereby, this Service Level Agreement is executed by the undersigned authorized representatives of each </w:t>
      </w:r>
      <w:proofErr w:type="gramStart"/>
      <w:r>
        <w:t>Party;</w:t>
      </w:r>
      <w:proofErr w:type="gramEnd"/>
      <w:r>
        <w:t xml:space="preserve"> effective as of the date of execution of all Parties hereto. </w:t>
      </w:r>
    </w:p>
    <w:p w14:paraId="6E312752" w14:textId="77777777" w:rsidR="006824D3" w:rsidRDefault="00000000">
      <w:pPr>
        <w:spacing w:after="0"/>
        <w:ind w:left="115"/>
      </w:pPr>
      <w:r>
        <w:t xml:space="preserve">Agency Head or Designee: </w:t>
      </w:r>
    </w:p>
    <w:tbl>
      <w:tblPr>
        <w:tblStyle w:val="TableGrid"/>
        <w:tblW w:w="9902" w:type="dxa"/>
        <w:tblInd w:w="331" w:type="dxa"/>
        <w:tblCellMar>
          <w:top w:w="56" w:type="dxa"/>
          <w:left w:w="4" w:type="dxa"/>
          <w:right w:w="115" w:type="dxa"/>
        </w:tblCellMar>
        <w:tblLook w:val="04A0" w:firstRow="1" w:lastRow="0" w:firstColumn="1" w:lastColumn="0" w:noHBand="0" w:noVBand="1"/>
      </w:tblPr>
      <w:tblGrid>
        <w:gridCol w:w="3351"/>
        <w:gridCol w:w="2341"/>
        <w:gridCol w:w="2876"/>
        <w:gridCol w:w="1334"/>
      </w:tblGrid>
      <w:tr w:rsidR="006824D3" w14:paraId="4E4AA8A9" w14:textId="77777777">
        <w:trPr>
          <w:trHeight w:val="748"/>
        </w:trPr>
        <w:tc>
          <w:tcPr>
            <w:tcW w:w="3350" w:type="dxa"/>
            <w:tcBorders>
              <w:top w:val="single" w:sz="4" w:space="0" w:color="000000"/>
              <w:left w:val="single" w:sz="4" w:space="0" w:color="000000"/>
              <w:bottom w:val="single" w:sz="4" w:space="0" w:color="000000"/>
              <w:right w:val="single" w:sz="4" w:space="0" w:color="000000"/>
            </w:tcBorders>
            <w:shd w:val="clear" w:color="auto" w:fill="2E74B5"/>
          </w:tcPr>
          <w:p w14:paraId="6EBE72D1" w14:textId="77777777" w:rsidR="006824D3" w:rsidRDefault="00000000">
            <w:pPr>
              <w:spacing w:after="0" w:line="259" w:lineRule="auto"/>
              <w:ind w:left="115" w:firstLine="0"/>
            </w:pPr>
            <w:r>
              <w:rPr>
                <w:color w:val="FFFFFF"/>
              </w:rPr>
              <w:t>Name</w:t>
            </w:r>
            <w: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2E74B5"/>
          </w:tcPr>
          <w:p w14:paraId="1B47A9D9" w14:textId="77777777" w:rsidR="006824D3" w:rsidRDefault="00000000">
            <w:pPr>
              <w:spacing w:after="0" w:line="259" w:lineRule="auto"/>
              <w:ind w:left="116" w:firstLine="0"/>
            </w:pPr>
            <w:r>
              <w:rPr>
                <w:color w:val="FFFFFF"/>
              </w:rPr>
              <w:t>Title</w:t>
            </w:r>
            <w:r>
              <w:t xml:space="preserve"> </w:t>
            </w:r>
          </w:p>
        </w:tc>
        <w:tc>
          <w:tcPr>
            <w:tcW w:w="2876" w:type="dxa"/>
            <w:tcBorders>
              <w:top w:val="single" w:sz="4" w:space="0" w:color="000000"/>
              <w:left w:val="single" w:sz="4" w:space="0" w:color="000000"/>
              <w:bottom w:val="single" w:sz="4" w:space="0" w:color="000000"/>
              <w:right w:val="single" w:sz="4" w:space="0" w:color="000000"/>
            </w:tcBorders>
            <w:shd w:val="clear" w:color="auto" w:fill="2E74B5"/>
          </w:tcPr>
          <w:p w14:paraId="274BAF4B" w14:textId="77777777" w:rsidR="006824D3" w:rsidRDefault="00000000">
            <w:pPr>
              <w:spacing w:after="0" w:line="259" w:lineRule="auto"/>
              <w:ind w:left="116" w:firstLine="0"/>
            </w:pPr>
            <w:r>
              <w:rPr>
                <w:color w:val="FFFFFF"/>
              </w:rPr>
              <w:t>Signature</w:t>
            </w:r>
            <w: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2E74B5"/>
          </w:tcPr>
          <w:p w14:paraId="1D909256" w14:textId="77777777" w:rsidR="006824D3" w:rsidRDefault="00000000">
            <w:pPr>
              <w:spacing w:after="0" w:line="259" w:lineRule="auto"/>
              <w:ind w:left="116" w:firstLine="0"/>
            </w:pPr>
            <w:r>
              <w:rPr>
                <w:color w:val="FFFFFF"/>
              </w:rPr>
              <w:t>Date</w:t>
            </w:r>
            <w:r>
              <w:t xml:space="preserve"> </w:t>
            </w:r>
          </w:p>
        </w:tc>
      </w:tr>
      <w:tr w:rsidR="006824D3" w14:paraId="15E1936F" w14:textId="77777777">
        <w:trPr>
          <w:trHeight w:val="1122"/>
        </w:trPr>
        <w:tc>
          <w:tcPr>
            <w:tcW w:w="3350" w:type="dxa"/>
            <w:tcBorders>
              <w:top w:val="single" w:sz="4" w:space="0" w:color="000000"/>
              <w:left w:val="single" w:sz="4" w:space="0" w:color="000000"/>
              <w:bottom w:val="single" w:sz="4" w:space="0" w:color="000000"/>
              <w:right w:val="single" w:sz="4" w:space="0" w:color="000000"/>
            </w:tcBorders>
          </w:tcPr>
          <w:p w14:paraId="213536CF" w14:textId="613F98D1" w:rsidR="006824D3" w:rsidRDefault="00000000">
            <w:pPr>
              <w:spacing w:after="0" w:line="259" w:lineRule="auto"/>
              <w:ind w:left="0" w:firstLine="0"/>
            </w:pPr>
            <w:r>
              <w:t xml:space="preserve"> </w:t>
            </w:r>
            <w:r w:rsidR="002F7B80">
              <w:t>Jody Donaldson</w:t>
            </w:r>
          </w:p>
        </w:tc>
        <w:tc>
          <w:tcPr>
            <w:tcW w:w="2341" w:type="dxa"/>
            <w:tcBorders>
              <w:top w:val="single" w:sz="4" w:space="0" w:color="000000"/>
              <w:left w:val="single" w:sz="4" w:space="0" w:color="000000"/>
              <w:bottom w:val="single" w:sz="4" w:space="0" w:color="000000"/>
              <w:right w:val="single" w:sz="4" w:space="0" w:color="000000"/>
            </w:tcBorders>
          </w:tcPr>
          <w:p w14:paraId="11846DC2" w14:textId="09015102" w:rsidR="006824D3" w:rsidRDefault="002F7B80">
            <w:pPr>
              <w:spacing w:after="0" w:line="259" w:lineRule="auto"/>
              <w:ind w:left="1" w:firstLine="0"/>
            </w:pPr>
            <w:r>
              <w:t>Chief Marketing &amp; Communications Officer, NCDPS</w:t>
            </w:r>
          </w:p>
        </w:tc>
        <w:tc>
          <w:tcPr>
            <w:tcW w:w="2876" w:type="dxa"/>
            <w:tcBorders>
              <w:top w:val="single" w:sz="4" w:space="0" w:color="000000"/>
              <w:left w:val="single" w:sz="4" w:space="0" w:color="000000"/>
              <w:bottom w:val="single" w:sz="4" w:space="0" w:color="000000"/>
              <w:right w:val="single" w:sz="4" w:space="0" w:color="000000"/>
            </w:tcBorders>
          </w:tcPr>
          <w:p w14:paraId="207354B0" w14:textId="77777777" w:rsidR="006824D3" w:rsidRDefault="00000000">
            <w:pPr>
              <w:spacing w:after="0" w:line="259" w:lineRule="auto"/>
              <w:ind w:left="1"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0384BA09" w14:textId="77777777" w:rsidR="006824D3" w:rsidRDefault="00000000">
            <w:pPr>
              <w:spacing w:after="0" w:line="259" w:lineRule="auto"/>
              <w:ind w:left="1" w:firstLine="0"/>
            </w:pPr>
            <w:r>
              <w:t xml:space="preserve"> </w:t>
            </w:r>
          </w:p>
        </w:tc>
      </w:tr>
    </w:tbl>
    <w:p w14:paraId="09E1CA97" w14:textId="77777777" w:rsidR="006824D3" w:rsidRDefault="00000000">
      <w:pPr>
        <w:spacing w:after="32" w:line="259" w:lineRule="auto"/>
        <w:ind w:left="0" w:firstLine="0"/>
      </w:pPr>
      <w:r>
        <w:rPr>
          <w:rFonts w:ascii="Arial" w:eastAsia="Arial" w:hAnsi="Arial" w:cs="Arial"/>
        </w:rPr>
        <w:t xml:space="preserve"> </w:t>
      </w:r>
    </w:p>
    <w:p w14:paraId="5B75EC1D" w14:textId="3D19E7D0" w:rsidR="006824D3" w:rsidRDefault="006824D3">
      <w:pPr>
        <w:spacing w:after="32" w:line="259" w:lineRule="auto"/>
        <w:ind w:left="0" w:firstLine="0"/>
      </w:pPr>
    </w:p>
    <w:p w14:paraId="55EFFF9B" w14:textId="77777777" w:rsidR="006824D3" w:rsidRDefault="00000000">
      <w:pPr>
        <w:spacing w:after="0"/>
        <w:ind w:left="115"/>
      </w:pPr>
      <w:r>
        <w:t xml:space="preserve">DIT </w:t>
      </w:r>
    </w:p>
    <w:tbl>
      <w:tblPr>
        <w:tblStyle w:val="TableGrid"/>
        <w:tblW w:w="9902" w:type="dxa"/>
        <w:tblInd w:w="331" w:type="dxa"/>
        <w:tblCellMar>
          <w:top w:w="52" w:type="dxa"/>
          <w:left w:w="5" w:type="dxa"/>
          <w:right w:w="115" w:type="dxa"/>
        </w:tblCellMar>
        <w:tblLook w:val="04A0" w:firstRow="1" w:lastRow="0" w:firstColumn="1" w:lastColumn="0" w:noHBand="0" w:noVBand="1"/>
      </w:tblPr>
      <w:tblGrid>
        <w:gridCol w:w="3351"/>
        <w:gridCol w:w="2341"/>
        <w:gridCol w:w="2876"/>
        <w:gridCol w:w="1334"/>
      </w:tblGrid>
      <w:tr w:rsidR="006824D3" w14:paraId="7EF0AA40" w14:textId="77777777">
        <w:trPr>
          <w:trHeight w:val="753"/>
        </w:trPr>
        <w:tc>
          <w:tcPr>
            <w:tcW w:w="3350" w:type="dxa"/>
            <w:tcBorders>
              <w:top w:val="single" w:sz="4" w:space="0" w:color="000000"/>
              <w:left w:val="single" w:sz="4" w:space="0" w:color="000000"/>
              <w:bottom w:val="single" w:sz="4" w:space="0" w:color="000000"/>
              <w:right w:val="single" w:sz="4" w:space="0" w:color="000000"/>
            </w:tcBorders>
            <w:shd w:val="clear" w:color="auto" w:fill="2E74B5"/>
          </w:tcPr>
          <w:p w14:paraId="732DCCCD" w14:textId="77777777" w:rsidR="006824D3" w:rsidRDefault="00000000">
            <w:pPr>
              <w:spacing w:after="0" w:line="259" w:lineRule="auto"/>
              <w:ind w:left="114" w:firstLine="0"/>
            </w:pPr>
            <w:r>
              <w:rPr>
                <w:color w:val="FFFFFF"/>
              </w:rPr>
              <w:t>Name</w:t>
            </w:r>
            <w: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2E74B5"/>
          </w:tcPr>
          <w:p w14:paraId="3F16B91A" w14:textId="77777777" w:rsidR="006824D3" w:rsidRDefault="00000000">
            <w:pPr>
              <w:spacing w:after="0" w:line="259" w:lineRule="auto"/>
              <w:ind w:left="115" w:firstLine="0"/>
            </w:pPr>
            <w:r>
              <w:rPr>
                <w:color w:val="FFFFFF"/>
              </w:rPr>
              <w:t>Title</w:t>
            </w:r>
            <w:r>
              <w:t xml:space="preserve"> </w:t>
            </w:r>
          </w:p>
        </w:tc>
        <w:tc>
          <w:tcPr>
            <w:tcW w:w="2876" w:type="dxa"/>
            <w:tcBorders>
              <w:top w:val="single" w:sz="4" w:space="0" w:color="000000"/>
              <w:left w:val="single" w:sz="4" w:space="0" w:color="000000"/>
              <w:bottom w:val="single" w:sz="4" w:space="0" w:color="000000"/>
              <w:right w:val="single" w:sz="4" w:space="0" w:color="000000"/>
            </w:tcBorders>
            <w:shd w:val="clear" w:color="auto" w:fill="2E74B5"/>
          </w:tcPr>
          <w:p w14:paraId="65C7F22F" w14:textId="77777777" w:rsidR="006824D3" w:rsidRDefault="00000000">
            <w:pPr>
              <w:spacing w:after="0" w:line="259" w:lineRule="auto"/>
              <w:ind w:left="115" w:firstLine="0"/>
            </w:pPr>
            <w:r>
              <w:rPr>
                <w:color w:val="FFFFFF"/>
              </w:rPr>
              <w:t>Signature</w:t>
            </w:r>
            <w: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2E74B5"/>
          </w:tcPr>
          <w:p w14:paraId="42A2E9D0" w14:textId="77777777" w:rsidR="006824D3" w:rsidRDefault="00000000">
            <w:pPr>
              <w:spacing w:after="0" w:line="259" w:lineRule="auto"/>
              <w:ind w:left="115" w:firstLine="0"/>
            </w:pPr>
            <w:r>
              <w:rPr>
                <w:color w:val="FFFFFF"/>
              </w:rPr>
              <w:t>Date</w:t>
            </w:r>
            <w:r>
              <w:t xml:space="preserve"> </w:t>
            </w:r>
          </w:p>
        </w:tc>
      </w:tr>
      <w:tr w:rsidR="006824D3" w14:paraId="75CC1E4E" w14:textId="77777777">
        <w:trPr>
          <w:trHeight w:val="1522"/>
        </w:trPr>
        <w:tc>
          <w:tcPr>
            <w:tcW w:w="3350" w:type="dxa"/>
            <w:tcBorders>
              <w:top w:val="single" w:sz="4" w:space="0" w:color="000000"/>
              <w:left w:val="single" w:sz="4" w:space="0" w:color="000000"/>
              <w:bottom w:val="single" w:sz="4" w:space="0" w:color="000000"/>
              <w:right w:val="single" w:sz="4" w:space="0" w:color="000000"/>
            </w:tcBorders>
          </w:tcPr>
          <w:p w14:paraId="71C04359" w14:textId="77777777" w:rsidR="006824D3" w:rsidRDefault="00000000">
            <w:pPr>
              <w:spacing w:after="0" w:line="259" w:lineRule="auto"/>
              <w:ind w:left="114" w:firstLine="0"/>
            </w:pPr>
            <w:r>
              <w:t xml:space="preserve">Elena </w:t>
            </w:r>
            <w:proofErr w:type="spellStart"/>
            <w:r>
              <w:t>Talanker</w:t>
            </w:r>
            <w:proofErr w:type="spellEnd"/>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7E48EF6" w14:textId="7634E004" w:rsidR="006824D3" w:rsidRDefault="00000000">
            <w:pPr>
              <w:spacing w:after="0" w:line="259" w:lineRule="auto"/>
              <w:ind w:left="90" w:firstLine="0"/>
            </w:pPr>
            <w:r>
              <w:t xml:space="preserve">Digital Solutions </w:t>
            </w:r>
            <w:r w:rsidR="002331D5">
              <w:t>Services</w:t>
            </w:r>
            <w:r>
              <w:t xml:space="preserve"> Manager </w:t>
            </w:r>
          </w:p>
        </w:tc>
        <w:tc>
          <w:tcPr>
            <w:tcW w:w="2876" w:type="dxa"/>
            <w:tcBorders>
              <w:top w:val="single" w:sz="4" w:space="0" w:color="000000"/>
              <w:left w:val="single" w:sz="4" w:space="0" w:color="000000"/>
              <w:bottom w:val="single" w:sz="4" w:space="0" w:color="000000"/>
              <w:right w:val="single" w:sz="4" w:space="0" w:color="000000"/>
            </w:tcBorders>
          </w:tcPr>
          <w:p w14:paraId="164D6749" w14:textId="77777777" w:rsidR="006824D3" w:rsidRDefault="00000000">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32800EFF" w14:textId="77777777" w:rsidR="006824D3" w:rsidRDefault="00000000">
            <w:pPr>
              <w:spacing w:after="0" w:line="259" w:lineRule="auto"/>
              <w:ind w:left="0" w:firstLine="0"/>
            </w:pPr>
            <w:r>
              <w:t xml:space="preserve"> </w:t>
            </w:r>
          </w:p>
        </w:tc>
      </w:tr>
    </w:tbl>
    <w:p w14:paraId="32B39617" w14:textId="77777777" w:rsidR="006824D3" w:rsidRDefault="00000000">
      <w:pPr>
        <w:spacing w:after="0" w:line="259" w:lineRule="auto"/>
        <w:ind w:left="0" w:firstLine="0"/>
      </w:pPr>
      <w:r>
        <w:rPr>
          <w:rFonts w:ascii="Times New Roman" w:eastAsia="Times New Roman" w:hAnsi="Times New Roman" w:cs="Times New Roman"/>
          <w:sz w:val="22"/>
        </w:rPr>
        <w:t xml:space="preserve"> </w:t>
      </w:r>
    </w:p>
    <w:p w14:paraId="2E91BEA8" w14:textId="77777777" w:rsidR="006824D3" w:rsidRDefault="00000000">
      <w:pPr>
        <w:spacing w:after="0" w:line="259" w:lineRule="auto"/>
        <w:ind w:left="0"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284C05C1" w14:textId="77777777" w:rsidR="006824D3" w:rsidRDefault="00000000">
      <w:pPr>
        <w:pStyle w:val="Heading1"/>
        <w:ind w:left="706" w:hanging="721"/>
      </w:pPr>
      <w:bookmarkStart w:id="16" w:name="_Toc20296"/>
      <w:r>
        <w:t xml:space="preserve">Appendices/Attachments: </w:t>
      </w:r>
      <w:bookmarkEnd w:id="16"/>
    </w:p>
    <w:p w14:paraId="078584F9" w14:textId="77777777" w:rsidR="006824D3" w:rsidRDefault="00000000">
      <w:pPr>
        <w:spacing w:after="0" w:line="259" w:lineRule="auto"/>
        <w:ind w:left="0" w:firstLine="0"/>
      </w:pPr>
      <w:r>
        <w:t xml:space="preserve"> </w:t>
      </w:r>
    </w:p>
    <w:p w14:paraId="284AFF5A" w14:textId="77777777" w:rsidR="006824D3" w:rsidRDefault="00000000">
      <w:pPr>
        <w:spacing w:after="0"/>
      </w:pPr>
      <w:r>
        <w:t xml:space="preserve">Technical Architecture </w:t>
      </w:r>
    </w:p>
    <w:p w14:paraId="6032F0B1" w14:textId="77777777" w:rsidR="006824D3" w:rsidRDefault="00000000">
      <w:pPr>
        <w:spacing w:after="0"/>
      </w:pPr>
      <w:r>
        <w:t xml:space="preserve">Digital Solutions AWS Infrastructure - Core Drupal Resources </w:t>
      </w:r>
    </w:p>
    <w:p w14:paraId="1D489DB4" w14:textId="77777777" w:rsidR="006824D3" w:rsidRDefault="00000000">
      <w:pPr>
        <w:spacing w:after="0" w:line="259" w:lineRule="auto"/>
        <w:ind w:left="-1" w:firstLine="0"/>
        <w:jc w:val="right"/>
      </w:pPr>
      <w:r>
        <w:rPr>
          <w:noProof/>
        </w:rPr>
        <w:lastRenderedPageBreak/>
        <w:drawing>
          <wp:inline distT="0" distB="0" distL="0" distR="0" wp14:anchorId="05D6CF59" wp14:editId="1CDD2B5A">
            <wp:extent cx="6565900" cy="3893820"/>
            <wp:effectExtent l="0" t="0" r="0" b="0"/>
            <wp:docPr id="3074" name="Picture 3074" descr="A model of a build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074" name="Picture 3074"/>
                    <pic:cNvPicPr/>
                  </pic:nvPicPr>
                  <pic:blipFill>
                    <a:blip r:embed="rId33"/>
                    <a:stretch>
                      <a:fillRect/>
                    </a:stretch>
                  </pic:blipFill>
                  <pic:spPr>
                    <a:xfrm>
                      <a:off x="0" y="0"/>
                      <a:ext cx="6565900" cy="3893820"/>
                    </a:xfrm>
                    <a:prstGeom prst="rect">
                      <a:avLst/>
                    </a:prstGeom>
                  </pic:spPr>
                </pic:pic>
              </a:graphicData>
            </a:graphic>
          </wp:inline>
        </w:drawing>
      </w:r>
      <w:r>
        <w:rPr>
          <w:rFonts w:ascii="Arial" w:eastAsia="Arial" w:hAnsi="Arial" w:cs="Arial"/>
          <w:sz w:val="22"/>
        </w:rPr>
        <w:t xml:space="preserve"> </w:t>
      </w:r>
    </w:p>
    <w:sectPr w:rsidR="006824D3">
      <w:headerReference w:type="even" r:id="rId34"/>
      <w:headerReference w:type="default" r:id="rId35"/>
      <w:footerReference w:type="even" r:id="rId36"/>
      <w:footerReference w:type="default" r:id="rId37"/>
      <w:headerReference w:type="first" r:id="rId38"/>
      <w:footerReference w:type="first" r:id="rId39"/>
      <w:pgSz w:w="12240" w:h="15840"/>
      <w:pgMar w:top="1131" w:right="754" w:bottom="1216" w:left="1081"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4DC3" w14:textId="77777777" w:rsidR="00770920" w:rsidRDefault="00770920">
      <w:pPr>
        <w:spacing w:after="0" w:line="240" w:lineRule="auto"/>
      </w:pPr>
      <w:r>
        <w:separator/>
      </w:r>
    </w:p>
  </w:endnote>
  <w:endnote w:type="continuationSeparator" w:id="0">
    <w:p w14:paraId="4D2D6984" w14:textId="77777777" w:rsidR="00770920" w:rsidRDefault="0077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E3DF" w14:textId="77777777" w:rsidR="006824D3" w:rsidRDefault="00000000">
    <w:pPr>
      <w:spacing w:after="162" w:line="259" w:lineRule="auto"/>
      <w:ind w:left="0" w:firstLine="0"/>
    </w:pPr>
    <w:r>
      <w:rPr>
        <w:rFonts w:ascii="Arial" w:eastAsia="Arial" w:hAnsi="Arial" w:cs="Arial"/>
        <w:sz w:val="20"/>
      </w:rPr>
      <w:t xml:space="preserve"> </w:t>
    </w:r>
  </w:p>
  <w:p w14:paraId="23DDC0A6" w14:textId="77777777" w:rsidR="006824D3" w:rsidRDefault="00000000">
    <w:pPr>
      <w:spacing w:after="0" w:line="259" w:lineRule="auto"/>
      <w:ind w:left="0" w:right="48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7483" w14:textId="77777777" w:rsidR="006824D3" w:rsidRDefault="00000000">
    <w:pPr>
      <w:spacing w:after="162" w:line="259" w:lineRule="auto"/>
      <w:ind w:left="0" w:firstLine="0"/>
    </w:pPr>
    <w:r>
      <w:rPr>
        <w:rFonts w:ascii="Arial" w:eastAsia="Arial" w:hAnsi="Arial" w:cs="Arial"/>
        <w:sz w:val="20"/>
      </w:rPr>
      <w:t xml:space="preserve"> </w:t>
    </w:r>
  </w:p>
  <w:p w14:paraId="7769984F" w14:textId="77777777" w:rsidR="006824D3" w:rsidRDefault="00000000">
    <w:pPr>
      <w:spacing w:after="0" w:line="259" w:lineRule="auto"/>
      <w:ind w:left="0" w:right="678"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4B4" w14:textId="77777777" w:rsidR="006824D3" w:rsidRDefault="00000000">
    <w:pPr>
      <w:spacing w:after="162" w:line="259" w:lineRule="auto"/>
      <w:ind w:left="0" w:firstLine="0"/>
    </w:pPr>
    <w:r>
      <w:rPr>
        <w:rFonts w:ascii="Arial" w:eastAsia="Arial" w:hAnsi="Arial" w:cs="Arial"/>
        <w:sz w:val="20"/>
      </w:rPr>
      <w:t xml:space="preserve"> </w:t>
    </w:r>
  </w:p>
  <w:p w14:paraId="0626655C" w14:textId="77777777" w:rsidR="006824D3" w:rsidRDefault="00000000">
    <w:pPr>
      <w:spacing w:after="0" w:line="259" w:lineRule="auto"/>
      <w:ind w:left="0" w:right="678"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4AB8" w14:textId="77777777" w:rsidR="006824D3" w:rsidRDefault="00000000">
    <w:pPr>
      <w:spacing w:after="162" w:line="259" w:lineRule="auto"/>
      <w:ind w:left="0" w:firstLine="0"/>
    </w:pPr>
    <w:r>
      <w:rPr>
        <w:rFonts w:ascii="Arial" w:eastAsia="Arial" w:hAnsi="Arial" w:cs="Arial"/>
        <w:sz w:val="20"/>
      </w:rPr>
      <w:t xml:space="preserve"> </w:t>
    </w:r>
  </w:p>
  <w:p w14:paraId="55D931E9" w14:textId="77777777" w:rsidR="006824D3" w:rsidRDefault="00000000">
    <w:pPr>
      <w:spacing w:after="0" w:line="259" w:lineRule="auto"/>
      <w:ind w:left="0" w:right="678"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760B" w14:textId="77777777" w:rsidR="006824D3" w:rsidRDefault="00000000">
    <w:pPr>
      <w:spacing w:after="162" w:line="259" w:lineRule="auto"/>
      <w:ind w:left="0" w:firstLine="0"/>
    </w:pPr>
    <w:r>
      <w:rPr>
        <w:rFonts w:ascii="Arial" w:eastAsia="Arial" w:hAnsi="Arial" w:cs="Arial"/>
        <w:sz w:val="20"/>
      </w:rPr>
      <w:t xml:space="preserve"> </w:t>
    </w:r>
  </w:p>
  <w:p w14:paraId="240643D6" w14:textId="77777777" w:rsidR="006824D3" w:rsidRDefault="00000000">
    <w:pPr>
      <w:spacing w:after="0" w:line="259" w:lineRule="auto"/>
      <w:ind w:left="0" w:right="48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175E" w14:textId="77777777" w:rsidR="006824D3" w:rsidRDefault="00000000">
    <w:pPr>
      <w:spacing w:after="162" w:line="259" w:lineRule="auto"/>
      <w:ind w:left="0" w:firstLine="0"/>
    </w:pPr>
    <w:r>
      <w:rPr>
        <w:rFonts w:ascii="Arial" w:eastAsia="Arial" w:hAnsi="Arial" w:cs="Arial"/>
        <w:sz w:val="20"/>
      </w:rPr>
      <w:t xml:space="preserve"> </w:t>
    </w:r>
  </w:p>
  <w:p w14:paraId="5F014B96" w14:textId="77777777" w:rsidR="006824D3" w:rsidRDefault="00000000">
    <w:pPr>
      <w:spacing w:after="0" w:line="259" w:lineRule="auto"/>
      <w:ind w:left="0" w:right="48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43E6" w14:textId="77777777" w:rsidR="006824D3" w:rsidRDefault="00000000">
    <w:pPr>
      <w:spacing w:after="162" w:line="259" w:lineRule="auto"/>
      <w:ind w:left="0" w:firstLine="0"/>
    </w:pPr>
    <w:r>
      <w:rPr>
        <w:rFonts w:ascii="Arial" w:eastAsia="Arial" w:hAnsi="Arial" w:cs="Arial"/>
        <w:sz w:val="20"/>
      </w:rPr>
      <w:t xml:space="preserve"> </w:t>
    </w:r>
  </w:p>
  <w:p w14:paraId="4200B056" w14:textId="77777777" w:rsidR="006824D3" w:rsidRDefault="00000000">
    <w:pPr>
      <w:spacing w:after="0" w:line="259" w:lineRule="auto"/>
      <w:ind w:left="0" w:right="9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2D95" w14:textId="77777777" w:rsidR="006824D3" w:rsidRDefault="00000000">
    <w:pPr>
      <w:spacing w:after="162" w:line="259" w:lineRule="auto"/>
      <w:ind w:left="0" w:firstLine="0"/>
    </w:pPr>
    <w:r>
      <w:rPr>
        <w:rFonts w:ascii="Arial" w:eastAsia="Arial" w:hAnsi="Arial" w:cs="Arial"/>
        <w:sz w:val="20"/>
      </w:rPr>
      <w:t xml:space="preserve"> </w:t>
    </w:r>
  </w:p>
  <w:p w14:paraId="0897A312" w14:textId="77777777" w:rsidR="006824D3" w:rsidRDefault="00000000">
    <w:pPr>
      <w:spacing w:after="0" w:line="259" w:lineRule="auto"/>
      <w:ind w:left="0" w:right="9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0A83" w14:textId="77777777" w:rsidR="006824D3" w:rsidRDefault="00000000">
    <w:pPr>
      <w:spacing w:after="162" w:line="259" w:lineRule="auto"/>
      <w:ind w:left="0" w:firstLine="0"/>
    </w:pPr>
    <w:r>
      <w:rPr>
        <w:rFonts w:ascii="Arial" w:eastAsia="Arial" w:hAnsi="Arial" w:cs="Arial"/>
        <w:sz w:val="20"/>
      </w:rPr>
      <w:t xml:space="preserve"> </w:t>
    </w:r>
  </w:p>
  <w:p w14:paraId="2A863076" w14:textId="77777777" w:rsidR="006824D3" w:rsidRDefault="00000000">
    <w:pPr>
      <w:spacing w:after="0" w:line="259" w:lineRule="auto"/>
      <w:ind w:left="0" w:right="93"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F345" w14:textId="77777777" w:rsidR="006824D3" w:rsidRDefault="00000000">
    <w:pPr>
      <w:spacing w:after="162" w:line="259" w:lineRule="auto"/>
      <w:ind w:left="0" w:firstLine="0"/>
    </w:pPr>
    <w:r>
      <w:rPr>
        <w:rFonts w:ascii="Arial" w:eastAsia="Arial" w:hAnsi="Arial" w:cs="Arial"/>
        <w:sz w:val="20"/>
      </w:rPr>
      <w:t xml:space="preserve"> </w:t>
    </w:r>
  </w:p>
  <w:p w14:paraId="57085A28" w14:textId="77777777" w:rsidR="006824D3" w:rsidRDefault="00000000">
    <w:pPr>
      <w:spacing w:after="0" w:line="259" w:lineRule="auto"/>
      <w:ind w:left="0" w:right="-619"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C36F" w14:textId="77777777" w:rsidR="006824D3" w:rsidRDefault="00000000">
    <w:pPr>
      <w:spacing w:after="162" w:line="259" w:lineRule="auto"/>
      <w:ind w:left="0" w:firstLine="0"/>
    </w:pPr>
    <w:r>
      <w:rPr>
        <w:rFonts w:ascii="Arial" w:eastAsia="Arial" w:hAnsi="Arial" w:cs="Arial"/>
        <w:sz w:val="20"/>
      </w:rPr>
      <w:t xml:space="preserve"> </w:t>
    </w:r>
  </w:p>
  <w:p w14:paraId="3DE472A2" w14:textId="77777777" w:rsidR="006824D3" w:rsidRDefault="00000000">
    <w:pPr>
      <w:spacing w:after="0" w:line="259" w:lineRule="auto"/>
      <w:ind w:left="0" w:right="-619"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B80E" w14:textId="77777777" w:rsidR="006824D3" w:rsidRDefault="00000000">
    <w:pPr>
      <w:spacing w:after="162" w:line="259" w:lineRule="auto"/>
      <w:ind w:left="0" w:firstLine="0"/>
    </w:pPr>
    <w:r>
      <w:rPr>
        <w:rFonts w:ascii="Arial" w:eastAsia="Arial" w:hAnsi="Arial" w:cs="Arial"/>
        <w:sz w:val="20"/>
      </w:rPr>
      <w:t xml:space="preserve"> </w:t>
    </w:r>
  </w:p>
  <w:p w14:paraId="3B9DD052" w14:textId="77777777" w:rsidR="006824D3" w:rsidRDefault="00000000">
    <w:pPr>
      <w:spacing w:after="0" w:line="259" w:lineRule="auto"/>
      <w:ind w:left="0" w:right="-619" w:firstLine="0"/>
      <w:jc w:val="right"/>
    </w:pP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3241" w14:textId="77777777" w:rsidR="00770920" w:rsidRDefault="00770920">
      <w:pPr>
        <w:spacing w:after="0" w:line="240" w:lineRule="auto"/>
      </w:pPr>
      <w:r>
        <w:separator/>
      </w:r>
    </w:p>
  </w:footnote>
  <w:footnote w:type="continuationSeparator" w:id="0">
    <w:p w14:paraId="251B487B" w14:textId="77777777" w:rsidR="00770920" w:rsidRDefault="0077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D2FB" w14:textId="77777777" w:rsidR="006824D3" w:rsidRDefault="006824D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216" w14:textId="77777777" w:rsidR="006824D3" w:rsidRDefault="006824D3">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E7C1" w14:textId="77777777" w:rsidR="006824D3" w:rsidRDefault="006824D3">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D1EE" w14:textId="77777777" w:rsidR="006824D3" w:rsidRDefault="006824D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C757" w14:textId="77777777" w:rsidR="006824D3" w:rsidRDefault="006824D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AFD7" w14:textId="77777777" w:rsidR="006824D3" w:rsidRDefault="006824D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85A5" w14:textId="77777777" w:rsidR="006824D3" w:rsidRDefault="006824D3">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0D34" w14:textId="77777777" w:rsidR="006824D3" w:rsidRDefault="00000000">
    <w:pPr>
      <w:spacing w:after="781" w:line="259" w:lineRule="auto"/>
      <w:ind w:left="0" w:firstLine="0"/>
    </w:pPr>
    <w:r>
      <w:rPr>
        <w:rFonts w:ascii="Arial" w:eastAsia="Arial" w:hAnsi="Arial" w:cs="Arial"/>
        <w:sz w:val="20"/>
      </w:rPr>
      <w:t xml:space="preserve"> </w:t>
    </w:r>
  </w:p>
  <w:p w14:paraId="3CC8448E" w14:textId="77777777" w:rsidR="006824D3" w:rsidRDefault="00000000">
    <w:pPr>
      <w:spacing w:after="0" w:line="259" w:lineRule="auto"/>
      <w:ind w:left="480" w:firstLine="0"/>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BA98" w14:textId="77777777" w:rsidR="006824D3" w:rsidRDefault="00000000">
    <w:pPr>
      <w:spacing w:after="781" w:line="259" w:lineRule="auto"/>
      <w:ind w:left="0" w:firstLine="0"/>
    </w:pPr>
    <w:r>
      <w:rPr>
        <w:rFonts w:ascii="Arial" w:eastAsia="Arial" w:hAnsi="Arial" w:cs="Arial"/>
        <w:sz w:val="20"/>
      </w:rPr>
      <w:t xml:space="preserve"> </w:t>
    </w:r>
  </w:p>
  <w:p w14:paraId="15C61A7C" w14:textId="77777777" w:rsidR="006824D3" w:rsidRDefault="00000000">
    <w:pPr>
      <w:spacing w:after="0" w:line="259" w:lineRule="auto"/>
      <w:ind w:left="480" w:firstLine="0"/>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E78" w14:textId="77777777" w:rsidR="006824D3" w:rsidRDefault="006824D3">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271A" w14:textId="77777777" w:rsidR="006824D3" w:rsidRDefault="00000000">
    <w:pPr>
      <w:spacing w:after="781" w:line="259" w:lineRule="auto"/>
      <w:ind w:left="0" w:firstLine="0"/>
    </w:pPr>
    <w:r>
      <w:rPr>
        <w:rFonts w:ascii="Arial" w:eastAsia="Arial" w:hAnsi="Arial" w:cs="Arial"/>
        <w:sz w:val="20"/>
      </w:rPr>
      <w:t xml:space="preserve"> </w:t>
    </w:r>
  </w:p>
  <w:p w14:paraId="6BA2C7F7" w14:textId="77777777" w:rsidR="006824D3" w:rsidRDefault="00000000">
    <w:pPr>
      <w:spacing w:after="0" w:line="259" w:lineRule="auto"/>
      <w:ind w:left="480" w:firstLine="0"/>
    </w:pPr>
    <w: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94EE" w14:textId="77777777" w:rsidR="006824D3" w:rsidRDefault="00000000">
    <w:pPr>
      <w:spacing w:after="781" w:line="259" w:lineRule="auto"/>
      <w:ind w:left="0" w:firstLine="0"/>
    </w:pPr>
    <w:r>
      <w:rPr>
        <w:rFonts w:ascii="Arial" w:eastAsia="Arial" w:hAnsi="Arial" w:cs="Arial"/>
        <w:sz w:val="20"/>
      </w:rPr>
      <w:t xml:space="preserve"> </w:t>
    </w:r>
  </w:p>
  <w:p w14:paraId="596D4095" w14:textId="77777777" w:rsidR="006824D3" w:rsidRDefault="00000000">
    <w:pPr>
      <w:spacing w:after="0" w:line="259" w:lineRule="auto"/>
      <w:ind w:left="480" w:firstLine="0"/>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4D1"/>
    <w:multiLevelType w:val="hybridMultilevel"/>
    <w:tmpl w:val="0C7A13AE"/>
    <w:lvl w:ilvl="0" w:tplc="6A20CFDE">
      <w:start w:val="1"/>
      <w:numFmt w:val="bullet"/>
      <w:lvlText w:val="•"/>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126408">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A64F16">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1C8F1C">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8ECD52">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A846AE">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360E28">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E6944C">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B4BEC2">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10782"/>
    <w:multiLevelType w:val="hybridMultilevel"/>
    <w:tmpl w:val="8394392E"/>
    <w:lvl w:ilvl="0" w:tplc="FFE83638">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5ED826">
      <w:start w:val="1"/>
      <w:numFmt w:val="bullet"/>
      <w:lvlText w:val="o"/>
      <w:lvlJc w:val="left"/>
      <w:pPr>
        <w:ind w:left="1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325A76">
      <w:start w:val="1"/>
      <w:numFmt w:val="bullet"/>
      <w:lvlText w:val="▪"/>
      <w:lvlJc w:val="left"/>
      <w:pPr>
        <w:ind w:left="2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F0827C">
      <w:start w:val="1"/>
      <w:numFmt w:val="bullet"/>
      <w:lvlText w:val="•"/>
      <w:lvlJc w:val="left"/>
      <w:pPr>
        <w:ind w:left="2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EA7E92">
      <w:start w:val="1"/>
      <w:numFmt w:val="bullet"/>
      <w:lvlText w:val="o"/>
      <w:lvlJc w:val="left"/>
      <w:pPr>
        <w:ind w:left="3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7CD4B2">
      <w:start w:val="1"/>
      <w:numFmt w:val="bullet"/>
      <w:lvlText w:val="▪"/>
      <w:lvlJc w:val="left"/>
      <w:pPr>
        <w:ind w:left="4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2AC61C">
      <w:start w:val="1"/>
      <w:numFmt w:val="bullet"/>
      <w:lvlText w:val="•"/>
      <w:lvlJc w:val="left"/>
      <w:pPr>
        <w:ind w:left="5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D24F88">
      <w:start w:val="1"/>
      <w:numFmt w:val="bullet"/>
      <w:lvlText w:val="o"/>
      <w:lvlJc w:val="left"/>
      <w:pPr>
        <w:ind w:left="5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58A366">
      <w:start w:val="1"/>
      <w:numFmt w:val="bullet"/>
      <w:lvlText w:val="▪"/>
      <w:lvlJc w:val="left"/>
      <w:pPr>
        <w:ind w:left="6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F53C9"/>
    <w:multiLevelType w:val="hybridMultilevel"/>
    <w:tmpl w:val="3CD07DA6"/>
    <w:lvl w:ilvl="0" w:tplc="CAF838F2">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2EA1DA">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686878">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A054B6">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8ED254">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24A55A">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A60A72">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D0EF98">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EC3A80">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21116"/>
    <w:multiLevelType w:val="hybridMultilevel"/>
    <w:tmpl w:val="4AC60CE2"/>
    <w:lvl w:ilvl="0" w:tplc="7DFE0750">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54A0AC">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A0AC22">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9226E8">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4E067E">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144EE8">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DC7EDA">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96B6EE">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0CAC1A">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75675C"/>
    <w:multiLevelType w:val="multilevel"/>
    <w:tmpl w:val="ED80D4E2"/>
    <w:lvl w:ilvl="0">
      <w:start w:val="1"/>
      <w:numFmt w:val="decimal"/>
      <w:pStyle w:val="Heading1"/>
      <w:lvlText w:val="%1"/>
      <w:lvlJc w:val="left"/>
      <w:pPr>
        <w:ind w:left="0"/>
      </w:pPr>
      <w:rPr>
        <w:rFonts w:ascii="Calibri" w:eastAsia="Calibri" w:hAnsi="Calibri" w:cs="Calibri"/>
        <w:b w:val="0"/>
        <w:i w:val="0"/>
        <w:strike w:val="0"/>
        <w:dstrike w:val="0"/>
        <w:color w:val="2E74B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abstractNum>
  <w:abstractNum w:abstractNumId="5" w15:restartNumberingAfterBreak="0">
    <w:nsid w:val="1CF92610"/>
    <w:multiLevelType w:val="hybridMultilevel"/>
    <w:tmpl w:val="BE125E00"/>
    <w:lvl w:ilvl="0" w:tplc="BB009962">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8409E2">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F816BC">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6A23A8">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B8A584">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6A1952">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A9C6E">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38D3E8">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781C4E">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B41D9"/>
    <w:multiLevelType w:val="hybridMultilevel"/>
    <w:tmpl w:val="EB42DEDA"/>
    <w:lvl w:ilvl="0" w:tplc="F3CC792E">
      <w:start w:val="1"/>
      <w:numFmt w:val="bullet"/>
      <w:lvlText w:val="•"/>
      <w:lvlJc w:val="left"/>
      <w:pPr>
        <w:ind w:left="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824384">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DED6E8">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58A060">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5E9958">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FC0FE2">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780354">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4A9D8E">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AC755A">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6616D3"/>
    <w:multiLevelType w:val="hybridMultilevel"/>
    <w:tmpl w:val="B2785A10"/>
    <w:lvl w:ilvl="0" w:tplc="7A20A1E6">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4A50F4">
      <w:start w:val="1"/>
      <w:numFmt w:val="bullet"/>
      <w:lvlText w:val="o"/>
      <w:lvlJc w:val="left"/>
      <w:pPr>
        <w:ind w:left="1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C620D4">
      <w:start w:val="1"/>
      <w:numFmt w:val="bullet"/>
      <w:lvlText w:val="▪"/>
      <w:lvlJc w:val="left"/>
      <w:pPr>
        <w:ind w:left="2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822E6">
      <w:start w:val="1"/>
      <w:numFmt w:val="bullet"/>
      <w:lvlText w:val="•"/>
      <w:lvlJc w:val="left"/>
      <w:pPr>
        <w:ind w:left="2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B2C8DC">
      <w:start w:val="1"/>
      <w:numFmt w:val="bullet"/>
      <w:lvlText w:val="o"/>
      <w:lvlJc w:val="left"/>
      <w:pPr>
        <w:ind w:left="3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AA32A">
      <w:start w:val="1"/>
      <w:numFmt w:val="bullet"/>
      <w:lvlText w:val="▪"/>
      <w:lvlJc w:val="left"/>
      <w:pPr>
        <w:ind w:left="4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C68C04">
      <w:start w:val="1"/>
      <w:numFmt w:val="bullet"/>
      <w:lvlText w:val="•"/>
      <w:lvlJc w:val="left"/>
      <w:pPr>
        <w:ind w:left="5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22E5E">
      <w:start w:val="1"/>
      <w:numFmt w:val="bullet"/>
      <w:lvlText w:val="o"/>
      <w:lvlJc w:val="left"/>
      <w:pPr>
        <w:ind w:left="5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9C72E8">
      <w:start w:val="1"/>
      <w:numFmt w:val="bullet"/>
      <w:lvlText w:val="▪"/>
      <w:lvlJc w:val="left"/>
      <w:pPr>
        <w:ind w:left="6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4C75AC"/>
    <w:multiLevelType w:val="hybridMultilevel"/>
    <w:tmpl w:val="2EC0C85C"/>
    <w:lvl w:ilvl="0" w:tplc="16367466">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2CD02A">
      <w:start w:val="1"/>
      <w:numFmt w:val="bullet"/>
      <w:lvlText w:val="o"/>
      <w:lvlJc w:val="left"/>
      <w:pPr>
        <w:ind w:left="1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D2E87A">
      <w:start w:val="1"/>
      <w:numFmt w:val="bullet"/>
      <w:lvlText w:val="▪"/>
      <w:lvlJc w:val="left"/>
      <w:pPr>
        <w:ind w:left="2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CE81C4">
      <w:start w:val="1"/>
      <w:numFmt w:val="bullet"/>
      <w:lvlText w:val="•"/>
      <w:lvlJc w:val="left"/>
      <w:pPr>
        <w:ind w:left="2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581EF2">
      <w:start w:val="1"/>
      <w:numFmt w:val="bullet"/>
      <w:lvlText w:val="o"/>
      <w:lvlJc w:val="left"/>
      <w:pPr>
        <w:ind w:left="3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E8904">
      <w:start w:val="1"/>
      <w:numFmt w:val="bullet"/>
      <w:lvlText w:val="▪"/>
      <w:lvlJc w:val="left"/>
      <w:pPr>
        <w:ind w:left="4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EEC178">
      <w:start w:val="1"/>
      <w:numFmt w:val="bullet"/>
      <w:lvlText w:val="•"/>
      <w:lvlJc w:val="left"/>
      <w:pPr>
        <w:ind w:left="5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7E3B7E">
      <w:start w:val="1"/>
      <w:numFmt w:val="bullet"/>
      <w:lvlText w:val="o"/>
      <w:lvlJc w:val="left"/>
      <w:pPr>
        <w:ind w:left="5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64A3FE">
      <w:start w:val="1"/>
      <w:numFmt w:val="bullet"/>
      <w:lvlText w:val="▪"/>
      <w:lvlJc w:val="left"/>
      <w:pPr>
        <w:ind w:left="6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141747"/>
    <w:multiLevelType w:val="hybridMultilevel"/>
    <w:tmpl w:val="42C8795E"/>
    <w:lvl w:ilvl="0" w:tplc="7EBC8162">
      <w:start w:val="1"/>
      <w:numFmt w:val="bullet"/>
      <w:lvlText w:val="•"/>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54B108">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0CBC7C">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683AE6">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1893F2">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0CAE56">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4E1FF0">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8CD2EA">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F6D000">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397D46"/>
    <w:multiLevelType w:val="hybridMultilevel"/>
    <w:tmpl w:val="611857A2"/>
    <w:lvl w:ilvl="0" w:tplc="3F7E2DE0">
      <w:start w:val="1"/>
      <w:numFmt w:val="bullet"/>
      <w:lvlText w:val="•"/>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4E058">
      <w:start w:val="1"/>
      <w:numFmt w:val="bullet"/>
      <w:lvlText w:val="o"/>
      <w:lvlJc w:val="left"/>
      <w:pPr>
        <w:ind w:left="1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320CDE">
      <w:start w:val="1"/>
      <w:numFmt w:val="bullet"/>
      <w:lvlText w:val="▪"/>
      <w:lvlJc w:val="left"/>
      <w:pPr>
        <w:ind w:left="2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88D7B6">
      <w:start w:val="1"/>
      <w:numFmt w:val="bullet"/>
      <w:lvlText w:val="•"/>
      <w:lvlJc w:val="left"/>
      <w:pPr>
        <w:ind w:left="2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483A96">
      <w:start w:val="1"/>
      <w:numFmt w:val="bullet"/>
      <w:lvlText w:val="o"/>
      <w:lvlJc w:val="left"/>
      <w:pPr>
        <w:ind w:left="3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7A566A">
      <w:start w:val="1"/>
      <w:numFmt w:val="bullet"/>
      <w:lvlText w:val="▪"/>
      <w:lvlJc w:val="left"/>
      <w:pPr>
        <w:ind w:left="4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8A2292">
      <w:start w:val="1"/>
      <w:numFmt w:val="bullet"/>
      <w:lvlText w:val="•"/>
      <w:lvlJc w:val="left"/>
      <w:pPr>
        <w:ind w:left="5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BE7C26">
      <w:start w:val="1"/>
      <w:numFmt w:val="bullet"/>
      <w:lvlText w:val="o"/>
      <w:lvlJc w:val="left"/>
      <w:pPr>
        <w:ind w:left="5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DA4DDA">
      <w:start w:val="1"/>
      <w:numFmt w:val="bullet"/>
      <w:lvlText w:val="▪"/>
      <w:lvlJc w:val="left"/>
      <w:pPr>
        <w:ind w:left="6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BD471F"/>
    <w:multiLevelType w:val="hybridMultilevel"/>
    <w:tmpl w:val="737E3B78"/>
    <w:lvl w:ilvl="0" w:tplc="C6F07BA4">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307756">
      <w:start w:val="1"/>
      <w:numFmt w:val="bullet"/>
      <w:lvlText w:val="o"/>
      <w:lvlJc w:val="left"/>
      <w:pPr>
        <w:ind w:left="1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EE8420">
      <w:start w:val="1"/>
      <w:numFmt w:val="bullet"/>
      <w:lvlText w:val="▪"/>
      <w:lvlJc w:val="left"/>
      <w:pPr>
        <w:ind w:left="2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164596">
      <w:start w:val="1"/>
      <w:numFmt w:val="bullet"/>
      <w:lvlText w:val="•"/>
      <w:lvlJc w:val="left"/>
      <w:pPr>
        <w:ind w:left="2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1E1EC0">
      <w:start w:val="1"/>
      <w:numFmt w:val="bullet"/>
      <w:lvlText w:val="o"/>
      <w:lvlJc w:val="left"/>
      <w:pPr>
        <w:ind w:left="3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F851A8">
      <w:start w:val="1"/>
      <w:numFmt w:val="bullet"/>
      <w:lvlText w:val="▪"/>
      <w:lvlJc w:val="left"/>
      <w:pPr>
        <w:ind w:left="4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F6649C">
      <w:start w:val="1"/>
      <w:numFmt w:val="bullet"/>
      <w:lvlText w:val="•"/>
      <w:lvlJc w:val="left"/>
      <w:pPr>
        <w:ind w:left="5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627EAA">
      <w:start w:val="1"/>
      <w:numFmt w:val="bullet"/>
      <w:lvlText w:val="o"/>
      <w:lvlJc w:val="left"/>
      <w:pPr>
        <w:ind w:left="5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80CE3A">
      <w:start w:val="1"/>
      <w:numFmt w:val="bullet"/>
      <w:lvlText w:val="▪"/>
      <w:lvlJc w:val="left"/>
      <w:pPr>
        <w:ind w:left="6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323ECB"/>
    <w:multiLevelType w:val="hybridMultilevel"/>
    <w:tmpl w:val="7FA092B0"/>
    <w:lvl w:ilvl="0" w:tplc="D4B023A0">
      <w:start w:val="1"/>
      <w:numFmt w:val="bullet"/>
      <w:lvlText w:val="•"/>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783F50">
      <w:start w:val="1"/>
      <w:numFmt w:val="bullet"/>
      <w:lvlText w:val="o"/>
      <w:lvlJc w:val="left"/>
      <w:pPr>
        <w:ind w:left="1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3FC33F0">
      <w:start w:val="1"/>
      <w:numFmt w:val="bullet"/>
      <w:lvlText w:val="▪"/>
      <w:lvlJc w:val="left"/>
      <w:pPr>
        <w:ind w:left="1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ABCC578">
      <w:start w:val="1"/>
      <w:numFmt w:val="bullet"/>
      <w:lvlText w:val="•"/>
      <w:lvlJc w:val="left"/>
      <w:pPr>
        <w:ind w:left="2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CF2DBDE">
      <w:start w:val="1"/>
      <w:numFmt w:val="bullet"/>
      <w:lvlText w:val="o"/>
      <w:lvlJc w:val="left"/>
      <w:pPr>
        <w:ind w:left="3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CC9A5A">
      <w:start w:val="1"/>
      <w:numFmt w:val="bullet"/>
      <w:lvlText w:val="▪"/>
      <w:lvlJc w:val="left"/>
      <w:pPr>
        <w:ind w:left="4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3C6EE6">
      <w:start w:val="1"/>
      <w:numFmt w:val="bullet"/>
      <w:lvlText w:val="•"/>
      <w:lvlJc w:val="left"/>
      <w:pPr>
        <w:ind w:left="4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C5EBFDE">
      <w:start w:val="1"/>
      <w:numFmt w:val="bullet"/>
      <w:lvlText w:val="o"/>
      <w:lvlJc w:val="left"/>
      <w:pPr>
        <w:ind w:left="5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E81CAA">
      <w:start w:val="1"/>
      <w:numFmt w:val="bullet"/>
      <w:lvlText w:val="▪"/>
      <w:lvlJc w:val="left"/>
      <w:pPr>
        <w:ind w:left="6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111165"/>
    <w:multiLevelType w:val="hybridMultilevel"/>
    <w:tmpl w:val="FEAA620E"/>
    <w:lvl w:ilvl="0" w:tplc="32A67BFE">
      <w:start w:val="1"/>
      <w:numFmt w:val="bullet"/>
      <w:lvlText w:val="•"/>
      <w:lvlJc w:val="left"/>
      <w:pPr>
        <w:ind w:left="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060F70">
      <w:start w:val="1"/>
      <w:numFmt w:val="bullet"/>
      <w:lvlText w:val="o"/>
      <w:lvlJc w:val="left"/>
      <w:pPr>
        <w:ind w:left="1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C68CFC">
      <w:start w:val="1"/>
      <w:numFmt w:val="bullet"/>
      <w:lvlText w:val="▪"/>
      <w:lvlJc w:val="left"/>
      <w:pPr>
        <w:ind w:left="2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2A663C">
      <w:start w:val="1"/>
      <w:numFmt w:val="bullet"/>
      <w:lvlText w:val="•"/>
      <w:lvlJc w:val="left"/>
      <w:pPr>
        <w:ind w:left="2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787224">
      <w:start w:val="1"/>
      <w:numFmt w:val="bullet"/>
      <w:lvlText w:val="o"/>
      <w:lvlJc w:val="left"/>
      <w:pPr>
        <w:ind w:left="3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860450">
      <w:start w:val="1"/>
      <w:numFmt w:val="bullet"/>
      <w:lvlText w:val="▪"/>
      <w:lvlJc w:val="left"/>
      <w:pPr>
        <w:ind w:left="4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B2E1BA">
      <w:start w:val="1"/>
      <w:numFmt w:val="bullet"/>
      <w:lvlText w:val="•"/>
      <w:lvlJc w:val="left"/>
      <w:pPr>
        <w:ind w:left="5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02C2EC">
      <w:start w:val="1"/>
      <w:numFmt w:val="bullet"/>
      <w:lvlText w:val="o"/>
      <w:lvlJc w:val="left"/>
      <w:pPr>
        <w:ind w:left="5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E856B0">
      <w:start w:val="1"/>
      <w:numFmt w:val="bullet"/>
      <w:lvlText w:val="▪"/>
      <w:lvlJc w:val="left"/>
      <w:pPr>
        <w:ind w:left="6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90536901">
    <w:abstractNumId w:val="8"/>
  </w:num>
  <w:num w:numId="2" w16cid:durableId="312954533">
    <w:abstractNumId w:val="5"/>
  </w:num>
  <w:num w:numId="3" w16cid:durableId="640960988">
    <w:abstractNumId w:val="2"/>
  </w:num>
  <w:num w:numId="4" w16cid:durableId="1386636974">
    <w:abstractNumId w:val="3"/>
  </w:num>
  <w:num w:numId="5" w16cid:durableId="252129964">
    <w:abstractNumId w:val="12"/>
  </w:num>
  <w:num w:numId="6" w16cid:durableId="1113474951">
    <w:abstractNumId w:val="0"/>
  </w:num>
  <w:num w:numId="7" w16cid:durableId="1151945362">
    <w:abstractNumId w:val="9"/>
  </w:num>
  <w:num w:numId="8" w16cid:durableId="29965080">
    <w:abstractNumId w:val="13"/>
  </w:num>
  <w:num w:numId="9" w16cid:durableId="1984505676">
    <w:abstractNumId w:val="6"/>
  </w:num>
  <w:num w:numId="10" w16cid:durableId="916599185">
    <w:abstractNumId w:val="11"/>
  </w:num>
  <w:num w:numId="11" w16cid:durableId="786389694">
    <w:abstractNumId w:val="1"/>
  </w:num>
  <w:num w:numId="12" w16cid:durableId="1517500563">
    <w:abstractNumId w:val="10"/>
  </w:num>
  <w:num w:numId="13" w16cid:durableId="44185511">
    <w:abstractNumId w:val="7"/>
  </w:num>
  <w:num w:numId="14" w16cid:durableId="192926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D3"/>
    <w:rsid w:val="002331D5"/>
    <w:rsid w:val="002F7B80"/>
    <w:rsid w:val="003C4DEA"/>
    <w:rsid w:val="00404741"/>
    <w:rsid w:val="006824D3"/>
    <w:rsid w:val="00770920"/>
    <w:rsid w:val="00987443"/>
    <w:rsid w:val="00C1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251E1"/>
  <w15:docId w15:val="{6CACFA1A-7C49-9A4D-B873-07D5E1B7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9" w:lineRule="auto"/>
      <w:ind w:left="10"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numPr>
        <w:numId w:val="14"/>
      </w:numPr>
      <w:spacing w:after="89" w:line="259" w:lineRule="auto"/>
      <w:ind w:left="10" w:hanging="10"/>
      <w:outlineLvl w:val="0"/>
    </w:pPr>
    <w:rPr>
      <w:rFonts w:ascii="Calibri" w:eastAsia="Calibri" w:hAnsi="Calibri" w:cs="Calibri"/>
      <w:color w:val="2E74B5"/>
      <w:sz w:val="36"/>
    </w:rPr>
  </w:style>
  <w:style w:type="paragraph" w:styleId="Heading2">
    <w:name w:val="heading 2"/>
    <w:next w:val="Normal"/>
    <w:link w:val="Heading2Char"/>
    <w:uiPriority w:val="9"/>
    <w:unhideWhenUsed/>
    <w:qFormat/>
    <w:pPr>
      <w:keepNext/>
      <w:keepLines/>
      <w:numPr>
        <w:ilvl w:val="1"/>
        <w:numId w:val="14"/>
      </w:numPr>
      <w:spacing w:after="179" w:line="259" w:lineRule="auto"/>
      <w:ind w:left="10" w:hanging="10"/>
      <w:outlineLvl w:val="1"/>
    </w:pPr>
    <w:rPr>
      <w:rFonts w:ascii="Calibri" w:eastAsia="Calibri" w:hAnsi="Calibri" w:cs="Calibri"/>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8"/>
    </w:rPr>
  </w:style>
  <w:style w:type="character" w:customStyle="1" w:styleId="Heading1Char">
    <w:name w:val="Heading 1 Char"/>
    <w:link w:val="Heading1"/>
    <w:rPr>
      <w:rFonts w:ascii="Calibri" w:eastAsia="Calibri" w:hAnsi="Calibri" w:cs="Calibri"/>
      <w:color w:val="2E74B5"/>
      <w:sz w:val="36"/>
    </w:rPr>
  </w:style>
  <w:style w:type="paragraph" w:styleId="TOC1">
    <w:name w:val="toc 1"/>
    <w:hidden/>
    <w:pPr>
      <w:spacing w:after="105" w:line="269" w:lineRule="auto"/>
      <w:ind w:left="25" w:right="15" w:hanging="10"/>
    </w:pPr>
    <w:rPr>
      <w:rFonts w:ascii="Calibri" w:eastAsia="Calibri" w:hAnsi="Calibri" w:cs="Calibri"/>
      <w:color w:val="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nc.gov/documents/statewide-information-security-manual" TargetMode="External"/><Relationship Id="rId18" Type="http://schemas.openxmlformats.org/officeDocument/2006/relationships/hyperlink" Target="https://it.nc.gov/documents/statewide-information-security-manual"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nc.gov/documents/statewide-information-security-manual" TargetMode="External"/><Relationship Id="rId20" Type="http://schemas.openxmlformats.org/officeDocument/2006/relationships/hyperlink" Target="https://it.nc.gov/documents/statewide-information-security-manual"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t.nc.gov/documents/statewide-information-security-manual" TargetMode="Externa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s://it.nc.gov/documents/statewide-information-security-manual"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t.nc.gov/documents/statewide-information-security-manua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it.nc.gov/documents/statewide-information-security-manual" TargetMode="External"/><Relationship Id="rId25" Type="http://schemas.openxmlformats.org/officeDocument/2006/relationships/header" Target="header6.xml"/><Relationship Id="rId33" Type="http://schemas.openxmlformats.org/officeDocument/2006/relationships/image" Target="media/image1.jpg"/><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3811</Words>
  <Characters>21726</Characters>
  <Application>Microsoft Office Word</Application>
  <DocSecurity>0</DocSecurity>
  <Lines>181</Lines>
  <Paragraphs>50</Paragraphs>
  <ScaleCrop>false</ScaleCrop>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Hylton, William B</dc:creator>
  <cp:keywords/>
  <cp:lastModifiedBy>Vines, Liz</cp:lastModifiedBy>
  <cp:revision>4</cp:revision>
  <dcterms:created xsi:type="dcterms:W3CDTF">2023-06-15T18:25:00Z</dcterms:created>
  <dcterms:modified xsi:type="dcterms:W3CDTF">2023-06-15T19:14:00Z</dcterms:modified>
</cp:coreProperties>
</file>